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8510" w14:textId="6ECCAF62" w:rsidR="00A65AA3" w:rsidRPr="002247CA" w:rsidRDefault="00474B66" w:rsidP="00474B66">
      <w:pPr>
        <w:pStyle w:val="Default"/>
        <w:rPr>
          <w:rFonts w:asciiTheme="minorHAnsi" w:hAnsiTheme="minorHAnsi" w:cstheme="minorHAnsi"/>
          <w:b/>
          <w:bCs/>
          <w:color w:val="auto"/>
        </w:rPr>
      </w:pPr>
      <w:r w:rsidRPr="002247CA">
        <w:rPr>
          <w:rFonts w:asciiTheme="minorHAnsi" w:hAnsiTheme="minorHAnsi" w:cstheme="minorHAnsi"/>
          <w:b/>
          <w:bCs/>
          <w:color w:val="auto"/>
        </w:rPr>
        <w:t xml:space="preserve">Annex </w:t>
      </w:r>
      <w:r w:rsidR="009C473F" w:rsidRPr="002247CA">
        <w:rPr>
          <w:rFonts w:asciiTheme="minorHAnsi" w:hAnsiTheme="minorHAnsi" w:cstheme="minorHAnsi"/>
          <w:b/>
          <w:bCs/>
          <w:color w:val="auto"/>
        </w:rPr>
        <w:t>4</w:t>
      </w:r>
      <w:r w:rsidRPr="002247CA">
        <w:rPr>
          <w:rFonts w:asciiTheme="minorHAnsi" w:hAnsiTheme="minorHAnsi" w:cstheme="minorHAnsi"/>
          <w:b/>
          <w:bCs/>
          <w:color w:val="auto"/>
        </w:rPr>
        <w:t xml:space="preserve">. Letter to Healthcare Professionals </w:t>
      </w:r>
    </w:p>
    <w:p w14:paraId="2A5E7EB4" w14:textId="77777777" w:rsidR="00474B66" w:rsidRPr="002247CA" w:rsidRDefault="00474B66" w:rsidP="00474B66">
      <w:pPr>
        <w:pStyle w:val="Default"/>
        <w:rPr>
          <w:rFonts w:asciiTheme="minorHAnsi" w:hAnsiTheme="minorHAnsi" w:cstheme="minorHAnsi"/>
          <w:color w:val="auto"/>
        </w:rPr>
      </w:pPr>
    </w:p>
    <w:p w14:paraId="6A64061F" w14:textId="0E6B8426" w:rsidR="00474B66" w:rsidRDefault="00474B66" w:rsidP="00474B66">
      <w:pPr>
        <w:pStyle w:val="Default"/>
        <w:rPr>
          <w:rFonts w:asciiTheme="minorHAnsi" w:hAnsiTheme="minorHAnsi" w:cstheme="minorHAnsi"/>
          <w:color w:val="auto"/>
        </w:rPr>
      </w:pPr>
      <w:r w:rsidRPr="002247CA">
        <w:rPr>
          <w:rFonts w:asciiTheme="minorHAnsi" w:hAnsiTheme="minorHAnsi" w:cstheme="minorHAnsi"/>
          <w:color w:val="auto"/>
        </w:rPr>
        <w:t xml:space="preserve">Dear Healthcare Professional </w:t>
      </w:r>
    </w:p>
    <w:p w14:paraId="4DB95FCC" w14:textId="77777777" w:rsidR="00EF4CFC" w:rsidRPr="002247CA" w:rsidRDefault="00EF4CFC" w:rsidP="00474B66">
      <w:pPr>
        <w:pStyle w:val="Default"/>
        <w:rPr>
          <w:rFonts w:asciiTheme="minorHAnsi" w:hAnsiTheme="minorHAnsi" w:cstheme="minorHAnsi"/>
          <w:color w:val="auto"/>
        </w:rPr>
      </w:pPr>
    </w:p>
    <w:p w14:paraId="4F55BB1B" w14:textId="37891514" w:rsidR="00474B66" w:rsidRPr="002247CA" w:rsidRDefault="00474B66" w:rsidP="00474B66">
      <w:pPr>
        <w:pStyle w:val="Default"/>
        <w:rPr>
          <w:rFonts w:asciiTheme="minorHAnsi" w:hAnsiTheme="minorHAnsi" w:cstheme="minorHAnsi"/>
          <w:b/>
          <w:bCs/>
          <w:color w:val="auto"/>
        </w:rPr>
      </w:pPr>
      <w:r w:rsidRPr="002247CA">
        <w:rPr>
          <w:rFonts w:asciiTheme="minorHAnsi" w:hAnsiTheme="minorHAnsi" w:cstheme="minorHAnsi"/>
          <w:b/>
          <w:bCs/>
          <w:color w:val="auto"/>
        </w:rPr>
        <w:t>Extended Use Beyond Labelled Expiry Date for Selected Lots of Jext® 150 mcg and 300</w:t>
      </w:r>
      <w:r w:rsidRPr="002247CA">
        <w:rPr>
          <w:rFonts w:asciiTheme="minorHAnsi" w:hAnsiTheme="minorHAnsi" w:cstheme="minorHAnsi"/>
          <w:color w:val="auto"/>
        </w:rPr>
        <w:t xml:space="preserve"> </w:t>
      </w:r>
      <w:r w:rsidRPr="002247CA">
        <w:rPr>
          <w:rFonts w:asciiTheme="minorHAnsi" w:hAnsiTheme="minorHAnsi" w:cstheme="minorHAnsi"/>
          <w:b/>
          <w:bCs/>
          <w:color w:val="auto"/>
        </w:rPr>
        <w:t>mcg Adrenaline Auto-Injectors</w:t>
      </w:r>
      <w:r w:rsidR="0044397E">
        <w:rPr>
          <w:rFonts w:asciiTheme="minorHAnsi" w:hAnsiTheme="minorHAnsi" w:cstheme="minorHAnsi"/>
          <w:b/>
          <w:bCs/>
          <w:color w:val="auto"/>
        </w:rPr>
        <w:t>.</w:t>
      </w:r>
    </w:p>
    <w:p w14:paraId="26F7D5B3" w14:textId="73185383" w:rsidR="00474B66" w:rsidRPr="002247CA" w:rsidRDefault="00474B66" w:rsidP="00474B66">
      <w:pPr>
        <w:pStyle w:val="Default"/>
        <w:rPr>
          <w:rFonts w:asciiTheme="minorHAnsi" w:hAnsiTheme="minorHAnsi" w:cstheme="minorHAnsi"/>
          <w:color w:val="auto"/>
        </w:rPr>
      </w:pPr>
      <w:r w:rsidRPr="002247CA">
        <w:rPr>
          <w:rFonts w:asciiTheme="minorHAnsi" w:hAnsiTheme="minorHAnsi" w:cstheme="minorHAnsi"/>
          <w:color w:val="auto"/>
        </w:rPr>
        <w:t xml:space="preserve">This letter is sent in agreement with the UK medicines regulator, </w:t>
      </w:r>
      <w:proofErr w:type="gramStart"/>
      <w:r w:rsidRPr="002247CA">
        <w:rPr>
          <w:rFonts w:asciiTheme="minorHAnsi" w:hAnsiTheme="minorHAnsi" w:cstheme="minorHAnsi"/>
          <w:color w:val="auto"/>
        </w:rPr>
        <w:t>Medicines</w:t>
      </w:r>
      <w:proofErr w:type="gramEnd"/>
      <w:r w:rsidRPr="002247CA">
        <w:rPr>
          <w:rFonts w:asciiTheme="minorHAnsi" w:hAnsiTheme="minorHAnsi" w:cstheme="minorHAnsi"/>
          <w:color w:val="auto"/>
        </w:rPr>
        <w:t xml:space="preserve"> and Healthcare</w:t>
      </w:r>
      <w:r w:rsidR="00EF4CFC">
        <w:rPr>
          <w:rFonts w:asciiTheme="minorHAnsi" w:hAnsiTheme="minorHAnsi" w:cstheme="minorHAnsi"/>
          <w:color w:val="auto"/>
        </w:rPr>
        <w:t xml:space="preserve"> </w:t>
      </w:r>
      <w:r w:rsidRPr="002247CA">
        <w:rPr>
          <w:rFonts w:asciiTheme="minorHAnsi" w:hAnsiTheme="minorHAnsi" w:cstheme="minorHAnsi"/>
          <w:color w:val="auto"/>
        </w:rPr>
        <w:t xml:space="preserve">Products Regulatory Agency (MHRA), to inform you of the following: </w:t>
      </w:r>
    </w:p>
    <w:p w14:paraId="067D3B92" w14:textId="3D712F49" w:rsidR="007E6A08" w:rsidRDefault="007E6A08" w:rsidP="00474B66">
      <w:pPr>
        <w:pStyle w:val="Default"/>
        <w:rPr>
          <w:rFonts w:asciiTheme="minorHAnsi" w:hAnsiTheme="minorHAnsi" w:cstheme="minorHAnsi"/>
          <w:color w:val="auto"/>
        </w:rPr>
      </w:pPr>
    </w:p>
    <w:p w14:paraId="4C7A73A2" w14:textId="10B2F688" w:rsidR="00A65AA3" w:rsidRPr="00A65AA3" w:rsidRDefault="00A65AA3" w:rsidP="00474B66">
      <w:pPr>
        <w:pStyle w:val="Default"/>
        <w:rPr>
          <w:rFonts w:asciiTheme="minorHAnsi" w:hAnsiTheme="minorHAnsi" w:cstheme="minorHAnsi"/>
          <w:b/>
          <w:bCs/>
          <w:color w:val="auto"/>
        </w:rPr>
      </w:pPr>
      <w:bookmarkStart w:id="0" w:name="_Hlk144887483"/>
      <w:r w:rsidRPr="00A65AA3">
        <w:rPr>
          <w:rFonts w:asciiTheme="minorHAnsi" w:hAnsiTheme="minorHAnsi" w:cstheme="minorHAnsi"/>
          <w:b/>
          <w:bCs/>
          <w:color w:val="auto"/>
        </w:rPr>
        <w:t>Summary</w:t>
      </w:r>
      <w:r>
        <w:rPr>
          <w:rFonts w:asciiTheme="minorHAnsi" w:hAnsiTheme="minorHAnsi" w:cstheme="minorHAnsi"/>
          <w:b/>
          <w:bCs/>
          <w:color w:val="auto"/>
        </w:rPr>
        <w:t>.</w:t>
      </w:r>
    </w:p>
    <w:p w14:paraId="73F4FB2E" w14:textId="70356BEE" w:rsidR="00A65AA3" w:rsidRDefault="00FD16AA" w:rsidP="00474B66">
      <w:pPr>
        <w:pStyle w:val="Default"/>
        <w:rPr>
          <w:rFonts w:asciiTheme="minorHAnsi" w:hAnsiTheme="minorHAnsi" w:cstheme="minorHAnsi"/>
          <w:color w:val="auto"/>
        </w:rPr>
      </w:pPr>
      <w:r w:rsidRPr="002247CA">
        <w:rPr>
          <w:rFonts w:asciiTheme="minorHAnsi" w:hAnsiTheme="minorHAnsi" w:cstheme="minorHAnsi"/>
          <w:color w:val="auto"/>
        </w:rPr>
        <w:t xml:space="preserve">There is currently a shortage of Jext® adrenaline auto-injectors in the UK. </w:t>
      </w:r>
    </w:p>
    <w:p w14:paraId="14037D15" w14:textId="77777777" w:rsidR="00A65AA3" w:rsidRDefault="00A65AA3" w:rsidP="00474B66">
      <w:pPr>
        <w:pStyle w:val="Default"/>
        <w:rPr>
          <w:rFonts w:asciiTheme="minorHAnsi" w:hAnsiTheme="minorHAnsi" w:cstheme="minorHAnsi"/>
          <w:color w:val="auto"/>
        </w:rPr>
      </w:pPr>
    </w:p>
    <w:p w14:paraId="64E25AC1" w14:textId="23DF0A33" w:rsidR="00A65AA3" w:rsidRPr="00A65AA3" w:rsidRDefault="00A65AA3" w:rsidP="00A65AA3">
      <w:pPr>
        <w:pStyle w:val="Default"/>
        <w:rPr>
          <w:rFonts w:asciiTheme="minorHAnsi" w:hAnsiTheme="minorHAnsi" w:cstheme="minorHAnsi"/>
          <w:b/>
          <w:bCs/>
          <w:color w:val="auto"/>
        </w:rPr>
      </w:pPr>
      <w:r w:rsidRPr="00A65AA3">
        <w:rPr>
          <w:rFonts w:asciiTheme="minorHAnsi" w:hAnsiTheme="minorHAnsi" w:cstheme="minorHAnsi"/>
          <w:b/>
          <w:bCs/>
          <w:color w:val="auto"/>
        </w:rPr>
        <w:t>Background to the safety concern</w:t>
      </w:r>
      <w:r>
        <w:rPr>
          <w:rFonts w:asciiTheme="minorHAnsi" w:hAnsiTheme="minorHAnsi" w:cstheme="minorHAnsi"/>
          <w:b/>
          <w:bCs/>
          <w:color w:val="auto"/>
        </w:rPr>
        <w:t>.</w:t>
      </w:r>
    </w:p>
    <w:p w14:paraId="0CCDF42B" w14:textId="6B1B0084" w:rsidR="00474B66" w:rsidRDefault="006C7E4D" w:rsidP="00474B66">
      <w:pPr>
        <w:pStyle w:val="Default"/>
        <w:rPr>
          <w:rFonts w:asciiTheme="minorHAnsi" w:hAnsiTheme="minorHAnsi" w:cstheme="minorHAnsi"/>
          <w:color w:val="auto"/>
        </w:rPr>
      </w:pPr>
      <w:r w:rsidRPr="002247CA">
        <w:rPr>
          <w:rFonts w:asciiTheme="minorHAnsi" w:hAnsiTheme="minorHAnsi" w:cstheme="minorHAnsi"/>
        </w:rPr>
        <w:t xml:space="preserve">Due to the recent recall of a competitor product, we have seen an increased demand for </w:t>
      </w:r>
      <w:r w:rsidRPr="002247CA">
        <w:rPr>
          <w:rFonts w:asciiTheme="minorHAnsi" w:eastAsia="Calibri" w:hAnsiTheme="minorHAnsi" w:cstheme="minorHAnsi"/>
          <w:lang w:val="en-US"/>
        </w:rPr>
        <w:t>JEXT® in all countries</w:t>
      </w:r>
      <w:bookmarkEnd w:id="0"/>
      <w:r w:rsidR="0025300F">
        <w:rPr>
          <w:rFonts w:asciiTheme="minorHAnsi" w:eastAsia="Calibri" w:hAnsiTheme="minorHAnsi" w:cstheme="minorHAnsi"/>
          <w:lang w:val="en-US"/>
        </w:rPr>
        <w:t>,</w:t>
      </w:r>
      <w:r w:rsidRPr="002247CA">
        <w:rPr>
          <w:rFonts w:asciiTheme="minorHAnsi" w:hAnsiTheme="minorHAnsi" w:cstheme="minorHAnsi"/>
        </w:rPr>
        <w:t xml:space="preserve"> </w:t>
      </w:r>
      <w:r w:rsidR="0025300F">
        <w:rPr>
          <w:rFonts w:asciiTheme="minorHAnsi" w:eastAsia="Calibri" w:hAnsiTheme="minorHAnsi" w:cstheme="minorHAnsi"/>
        </w:rPr>
        <w:t>w</w:t>
      </w:r>
      <w:r w:rsidRPr="002247CA">
        <w:rPr>
          <w:rFonts w:asciiTheme="minorHAnsi" w:eastAsia="Calibri" w:hAnsiTheme="minorHAnsi" w:cstheme="minorHAnsi"/>
          <w:lang w:val="en-US"/>
        </w:rPr>
        <w:t xml:space="preserve">ith demand now far exceeding our normal expectations and forecasting. </w:t>
      </w:r>
      <w:r w:rsidRPr="002247CA" w:rsidDel="006C7E4D">
        <w:rPr>
          <w:rFonts w:asciiTheme="minorHAnsi" w:hAnsiTheme="minorHAnsi" w:cstheme="minorHAnsi"/>
          <w:color w:val="auto"/>
        </w:rPr>
        <w:t xml:space="preserve"> </w:t>
      </w:r>
      <w:r w:rsidR="00474B66" w:rsidRPr="002247CA">
        <w:rPr>
          <w:rFonts w:asciiTheme="minorHAnsi" w:hAnsiTheme="minorHAnsi" w:cstheme="minorHAnsi"/>
          <w:color w:val="auto"/>
        </w:rPr>
        <w:t xml:space="preserve">To support and maintain an overall adequate supply, ALK has obtained acceptance from the MHRA to extend the use of specific lot (batch) numbers of Jext® 150 mcg and Jext® 300 mcg auto-injectors, beyond the labelled expiry date by </w:t>
      </w:r>
      <w:r w:rsidR="00283A8E" w:rsidRPr="002247CA">
        <w:rPr>
          <w:rFonts w:asciiTheme="minorHAnsi" w:hAnsiTheme="minorHAnsi" w:cstheme="minorHAnsi"/>
          <w:color w:val="auto"/>
        </w:rPr>
        <w:t xml:space="preserve">two </w:t>
      </w:r>
      <w:r w:rsidR="00474B66" w:rsidRPr="002247CA">
        <w:rPr>
          <w:rFonts w:asciiTheme="minorHAnsi" w:hAnsiTheme="minorHAnsi" w:cstheme="minorHAnsi"/>
          <w:color w:val="auto"/>
        </w:rPr>
        <w:t xml:space="preserve">months. The affected lot numbers are listed in the table below and are also available on </w:t>
      </w:r>
      <w:hyperlink r:id="rId7" w:history="1">
        <w:r w:rsidR="00474B66" w:rsidRPr="002247CA">
          <w:rPr>
            <w:rStyle w:val="Hyperlink"/>
            <w:rFonts w:asciiTheme="minorHAnsi" w:hAnsiTheme="minorHAnsi" w:cstheme="minorHAnsi"/>
          </w:rPr>
          <w:t>www.jext.co.uk</w:t>
        </w:r>
      </w:hyperlink>
      <w:r w:rsidR="00474B66" w:rsidRPr="002247CA">
        <w:rPr>
          <w:rFonts w:asciiTheme="minorHAnsi" w:hAnsiTheme="minorHAnsi" w:cstheme="minorHAnsi"/>
          <w:color w:val="auto"/>
        </w:rPr>
        <w:t xml:space="preserve">. </w:t>
      </w:r>
    </w:p>
    <w:p w14:paraId="05EFAC23" w14:textId="77777777" w:rsidR="00EF4CFC" w:rsidRPr="002247CA" w:rsidRDefault="00EF4CFC" w:rsidP="00474B66">
      <w:pPr>
        <w:pStyle w:val="Default"/>
        <w:rPr>
          <w:rFonts w:asciiTheme="minorHAnsi" w:hAnsiTheme="minorHAnsi" w:cstheme="minorHAnsi"/>
          <w:color w:val="auto"/>
        </w:rPr>
      </w:pPr>
    </w:p>
    <w:p w14:paraId="6ED51303" w14:textId="5C737790" w:rsidR="00474B66" w:rsidRPr="002247CA" w:rsidRDefault="00474B66" w:rsidP="00474B66">
      <w:pPr>
        <w:pStyle w:val="Default"/>
        <w:rPr>
          <w:rFonts w:asciiTheme="minorHAnsi" w:hAnsiTheme="minorHAnsi" w:cstheme="minorHAnsi"/>
          <w:color w:val="auto"/>
          <w:sz w:val="22"/>
          <w:szCs w:val="22"/>
        </w:rPr>
      </w:pPr>
    </w:p>
    <w:p w14:paraId="50ED3506" w14:textId="57068A74" w:rsidR="00474B66" w:rsidRPr="00474B66" w:rsidRDefault="00474B66" w:rsidP="00474B66">
      <w:pPr>
        <w:pStyle w:val="Default"/>
        <w:rPr>
          <w:rFonts w:asciiTheme="minorHAnsi" w:hAnsiTheme="minorHAnsi" w:cstheme="minorHAnsi"/>
          <w:b/>
          <w:bCs/>
          <w:color w:val="auto"/>
          <w:sz w:val="22"/>
          <w:szCs w:val="22"/>
        </w:rPr>
      </w:pPr>
      <w:r w:rsidRPr="00474B66">
        <w:rPr>
          <w:rFonts w:asciiTheme="minorHAnsi" w:hAnsiTheme="minorHAnsi" w:cstheme="minorHAnsi"/>
          <w:b/>
          <w:bCs/>
          <w:color w:val="auto"/>
          <w:sz w:val="22"/>
          <w:szCs w:val="22"/>
        </w:rPr>
        <w:t>Table 1 Affected lots (batches) for extended use of Jext® auto-injectors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9"/>
        <w:gridCol w:w="1276"/>
        <w:gridCol w:w="2693"/>
        <w:gridCol w:w="3402"/>
      </w:tblGrid>
      <w:tr w:rsidR="00474B66" w:rsidRPr="00474B66" w14:paraId="790897B4" w14:textId="77777777" w:rsidTr="00EF4CFC">
        <w:trPr>
          <w:trHeight w:val="323"/>
        </w:trPr>
        <w:tc>
          <w:tcPr>
            <w:tcW w:w="568" w:type="dxa"/>
          </w:tcPr>
          <w:p w14:paraId="541CDBAE" w14:textId="05B1B6D2" w:rsidR="00474B66" w:rsidRPr="00EF4CFC" w:rsidRDefault="00474B66">
            <w:pPr>
              <w:pStyle w:val="Default"/>
              <w:rPr>
                <w:rFonts w:asciiTheme="minorHAnsi" w:hAnsiTheme="minorHAnsi" w:cstheme="minorHAnsi"/>
                <w:sz w:val="20"/>
                <w:szCs w:val="20"/>
              </w:rPr>
            </w:pPr>
            <w:r w:rsidRPr="00EF4CFC">
              <w:rPr>
                <w:rFonts w:asciiTheme="minorHAnsi" w:hAnsiTheme="minorHAnsi" w:cstheme="minorHAnsi"/>
                <w:b/>
                <w:bCs/>
                <w:sz w:val="20"/>
                <w:szCs w:val="20"/>
              </w:rPr>
              <w:t xml:space="preserve">No. </w:t>
            </w:r>
          </w:p>
        </w:tc>
        <w:tc>
          <w:tcPr>
            <w:tcW w:w="1559" w:type="dxa"/>
          </w:tcPr>
          <w:p w14:paraId="722475AE" w14:textId="77777777" w:rsidR="00474B66" w:rsidRPr="00EF4CFC" w:rsidRDefault="00474B66">
            <w:pPr>
              <w:pStyle w:val="Default"/>
              <w:rPr>
                <w:rFonts w:asciiTheme="minorHAnsi" w:hAnsiTheme="minorHAnsi" w:cstheme="minorHAnsi"/>
                <w:sz w:val="20"/>
                <w:szCs w:val="20"/>
              </w:rPr>
            </w:pPr>
            <w:r w:rsidRPr="00EF4CFC">
              <w:rPr>
                <w:rFonts w:asciiTheme="minorHAnsi" w:hAnsiTheme="minorHAnsi" w:cstheme="minorHAnsi"/>
                <w:b/>
                <w:bCs/>
                <w:sz w:val="20"/>
                <w:szCs w:val="20"/>
              </w:rPr>
              <w:t xml:space="preserve">Strength, mcg </w:t>
            </w:r>
          </w:p>
        </w:tc>
        <w:tc>
          <w:tcPr>
            <w:tcW w:w="1276" w:type="dxa"/>
          </w:tcPr>
          <w:p w14:paraId="7BC37B62" w14:textId="77777777" w:rsidR="00474B66" w:rsidRPr="00EF4CFC" w:rsidRDefault="00474B66">
            <w:pPr>
              <w:pStyle w:val="Default"/>
              <w:rPr>
                <w:rFonts w:asciiTheme="minorHAnsi" w:hAnsiTheme="minorHAnsi" w:cstheme="minorHAnsi"/>
                <w:sz w:val="20"/>
                <w:szCs w:val="20"/>
              </w:rPr>
            </w:pPr>
            <w:r w:rsidRPr="00EF4CFC">
              <w:rPr>
                <w:rFonts w:asciiTheme="minorHAnsi" w:hAnsiTheme="minorHAnsi" w:cstheme="minorHAnsi"/>
                <w:b/>
                <w:bCs/>
                <w:sz w:val="20"/>
                <w:szCs w:val="20"/>
              </w:rPr>
              <w:t xml:space="preserve">Lot (batch) no. </w:t>
            </w:r>
          </w:p>
        </w:tc>
        <w:tc>
          <w:tcPr>
            <w:tcW w:w="2693" w:type="dxa"/>
          </w:tcPr>
          <w:p w14:paraId="15616374" w14:textId="77777777" w:rsidR="00474B66" w:rsidRPr="00EF4CFC" w:rsidRDefault="00474B66">
            <w:pPr>
              <w:pStyle w:val="Default"/>
              <w:rPr>
                <w:rFonts w:asciiTheme="minorHAnsi" w:hAnsiTheme="minorHAnsi" w:cstheme="minorHAnsi"/>
                <w:sz w:val="20"/>
                <w:szCs w:val="20"/>
              </w:rPr>
            </w:pPr>
            <w:r w:rsidRPr="00EF4CFC">
              <w:rPr>
                <w:rFonts w:asciiTheme="minorHAnsi" w:hAnsiTheme="minorHAnsi" w:cstheme="minorHAnsi"/>
                <w:b/>
                <w:bCs/>
                <w:sz w:val="20"/>
                <w:szCs w:val="20"/>
              </w:rPr>
              <w:t xml:space="preserve">Labelled Expiry Date (end of the month) </w:t>
            </w:r>
          </w:p>
        </w:tc>
        <w:tc>
          <w:tcPr>
            <w:tcW w:w="3402" w:type="dxa"/>
          </w:tcPr>
          <w:p w14:paraId="54310E90" w14:textId="77777777" w:rsidR="00474B66" w:rsidRPr="00EF4CFC" w:rsidRDefault="00474B66">
            <w:pPr>
              <w:pStyle w:val="Default"/>
              <w:rPr>
                <w:rFonts w:asciiTheme="minorHAnsi" w:hAnsiTheme="minorHAnsi" w:cstheme="minorHAnsi"/>
                <w:sz w:val="20"/>
                <w:szCs w:val="20"/>
              </w:rPr>
            </w:pPr>
            <w:r w:rsidRPr="00EF4CFC">
              <w:rPr>
                <w:rFonts w:asciiTheme="minorHAnsi" w:hAnsiTheme="minorHAnsi" w:cstheme="minorHAnsi"/>
                <w:b/>
                <w:bCs/>
                <w:sz w:val="20"/>
                <w:szCs w:val="20"/>
              </w:rPr>
              <w:t xml:space="preserve">Extended Use by Date (end of the month) </w:t>
            </w:r>
          </w:p>
        </w:tc>
      </w:tr>
      <w:tr w:rsidR="009C473F" w:rsidRPr="00474B66" w14:paraId="04A31364" w14:textId="77777777" w:rsidTr="00EF4CFC">
        <w:trPr>
          <w:trHeight w:val="93"/>
        </w:trPr>
        <w:tc>
          <w:tcPr>
            <w:tcW w:w="568" w:type="dxa"/>
          </w:tcPr>
          <w:p w14:paraId="59B0DC16" w14:textId="3717F69B"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w:t>
            </w:r>
          </w:p>
        </w:tc>
        <w:tc>
          <w:tcPr>
            <w:tcW w:w="1559" w:type="dxa"/>
            <w:vAlign w:val="bottom"/>
          </w:tcPr>
          <w:p w14:paraId="70F81008" w14:textId="63F22E82"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778BED27" w14:textId="5CEF0AEA"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K3984</w:t>
            </w:r>
          </w:p>
        </w:tc>
        <w:tc>
          <w:tcPr>
            <w:tcW w:w="2693" w:type="dxa"/>
          </w:tcPr>
          <w:p w14:paraId="4E15E0E3" w14:textId="59829D1B"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386137B6" w14:textId="02D1F672"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53C0EA92" w14:textId="77777777" w:rsidTr="00EF4CFC">
        <w:trPr>
          <w:trHeight w:val="93"/>
        </w:trPr>
        <w:tc>
          <w:tcPr>
            <w:tcW w:w="568" w:type="dxa"/>
          </w:tcPr>
          <w:p w14:paraId="7F2BA7BC" w14:textId="1C54F619"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2</w:t>
            </w:r>
          </w:p>
        </w:tc>
        <w:tc>
          <w:tcPr>
            <w:tcW w:w="1559" w:type="dxa"/>
            <w:vAlign w:val="bottom"/>
          </w:tcPr>
          <w:p w14:paraId="48CED148" w14:textId="4BE81A87"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413F85E8" w14:textId="224E7FD8"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K4161</w:t>
            </w:r>
          </w:p>
        </w:tc>
        <w:tc>
          <w:tcPr>
            <w:tcW w:w="2693" w:type="dxa"/>
          </w:tcPr>
          <w:p w14:paraId="3D00EB73" w14:textId="388B40EF"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67557045" w14:textId="5146E4E5"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4E6252D4" w14:textId="77777777" w:rsidTr="00EF4CFC">
        <w:trPr>
          <w:trHeight w:val="93"/>
        </w:trPr>
        <w:tc>
          <w:tcPr>
            <w:tcW w:w="568" w:type="dxa"/>
          </w:tcPr>
          <w:p w14:paraId="2AF3C546" w14:textId="1559CE25"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3</w:t>
            </w:r>
          </w:p>
        </w:tc>
        <w:tc>
          <w:tcPr>
            <w:tcW w:w="1559" w:type="dxa"/>
            <w:vAlign w:val="bottom"/>
          </w:tcPr>
          <w:p w14:paraId="64E3C6EC" w14:textId="27C7F764"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11534A4B" w14:textId="3D6A74C5"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K4338</w:t>
            </w:r>
          </w:p>
        </w:tc>
        <w:tc>
          <w:tcPr>
            <w:tcW w:w="2693" w:type="dxa"/>
          </w:tcPr>
          <w:p w14:paraId="4355CAB4" w14:textId="380E814F"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4D4E42B7" w14:textId="1F838214"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2B4D567B" w14:textId="77777777" w:rsidTr="00EF4CFC">
        <w:trPr>
          <w:trHeight w:val="93"/>
        </w:trPr>
        <w:tc>
          <w:tcPr>
            <w:tcW w:w="568" w:type="dxa"/>
          </w:tcPr>
          <w:p w14:paraId="2D105B85" w14:textId="3E5D3A12"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4</w:t>
            </w:r>
          </w:p>
        </w:tc>
        <w:tc>
          <w:tcPr>
            <w:tcW w:w="1559" w:type="dxa"/>
            <w:vAlign w:val="bottom"/>
          </w:tcPr>
          <w:p w14:paraId="6793C240" w14:textId="1321EC98"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2A8FEF49" w14:textId="177E46F5"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K4160</w:t>
            </w:r>
          </w:p>
        </w:tc>
        <w:tc>
          <w:tcPr>
            <w:tcW w:w="2693" w:type="dxa"/>
          </w:tcPr>
          <w:p w14:paraId="6EDB9BC8" w14:textId="6274E045"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79F446CE" w14:textId="38CCAAE8"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0FC684AB" w14:textId="77777777" w:rsidTr="00EF4CFC">
        <w:trPr>
          <w:trHeight w:val="93"/>
        </w:trPr>
        <w:tc>
          <w:tcPr>
            <w:tcW w:w="568" w:type="dxa"/>
          </w:tcPr>
          <w:p w14:paraId="50FB7A15" w14:textId="6D786E4A"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5</w:t>
            </w:r>
          </w:p>
        </w:tc>
        <w:tc>
          <w:tcPr>
            <w:tcW w:w="1559" w:type="dxa"/>
            <w:vAlign w:val="bottom"/>
          </w:tcPr>
          <w:p w14:paraId="5A8769D1" w14:textId="1EC55914"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17F3703D" w14:textId="13F72318"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K4408</w:t>
            </w:r>
          </w:p>
        </w:tc>
        <w:tc>
          <w:tcPr>
            <w:tcW w:w="2693" w:type="dxa"/>
          </w:tcPr>
          <w:p w14:paraId="71258A8E" w14:textId="0B0A067F"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484164D8" w14:textId="1AA7E126"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56FD5C34" w14:textId="77777777" w:rsidTr="00EF4CFC">
        <w:trPr>
          <w:trHeight w:val="93"/>
        </w:trPr>
        <w:tc>
          <w:tcPr>
            <w:tcW w:w="568" w:type="dxa"/>
          </w:tcPr>
          <w:p w14:paraId="4DDC5190" w14:textId="2C17555B"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6</w:t>
            </w:r>
          </w:p>
        </w:tc>
        <w:tc>
          <w:tcPr>
            <w:tcW w:w="1559" w:type="dxa"/>
            <w:vAlign w:val="bottom"/>
          </w:tcPr>
          <w:p w14:paraId="1831D90E" w14:textId="35752C52"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4B60BC76" w14:textId="6B32247F"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K4414</w:t>
            </w:r>
          </w:p>
        </w:tc>
        <w:tc>
          <w:tcPr>
            <w:tcW w:w="2693" w:type="dxa"/>
          </w:tcPr>
          <w:p w14:paraId="592AD48E" w14:textId="7DAF0CC0"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5B2935AF" w14:textId="3F892241"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52A676CF" w14:textId="77777777" w:rsidTr="00EF4CFC">
        <w:trPr>
          <w:trHeight w:val="185"/>
        </w:trPr>
        <w:tc>
          <w:tcPr>
            <w:tcW w:w="568" w:type="dxa"/>
          </w:tcPr>
          <w:p w14:paraId="50C72ABB" w14:textId="1E73E66F"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7</w:t>
            </w:r>
          </w:p>
        </w:tc>
        <w:tc>
          <w:tcPr>
            <w:tcW w:w="1559" w:type="dxa"/>
            <w:vAlign w:val="bottom"/>
          </w:tcPr>
          <w:p w14:paraId="03BF1ABC" w14:textId="0AF3DEE0"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557146C2" w14:textId="48B9E0E3"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K5311</w:t>
            </w:r>
          </w:p>
        </w:tc>
        <w:tc>
          <w:tcPr>
            <w:tcW w:w="2693" w:type="dxa"/>
          </w:tcPr>
          <w:p w14:paraId="75B45D9C" w14:textId="1DF53012" w:rsidR="009C473F" w:rsidRPr="00EF4CFC" w:rsidRDefault="009C473F" w:rsidP="009C473F">
            <w:pPr>
              <w:pStyle w:val="Default"/>
              <w:jc w:val="center"/>
              <w:rPr>
                <w:rFonts w:asciiTheme="minorHAnsi" w:hAnsiTheme="minorHAnsi" w:cstheme="minorHAnsi"/>
                <w:sz w:val="20"/>
                <w:szCs w:val="20"/>
              </w:rPr>
            </w:pPr>
            <w:r w:rsidRPr="00EF4CFC">
              <w:rPr>
                <w:sz w:val="20"/>
                <w:szCs w:val="20"/>
              </w:rPr>
              <w:t>Jan 2024</w:t>
            </w:r>
          </w:p>
        </w:tc>
        <w:tc>
          <w:tcPr>
            <w:tcW w:w="3402" w:type="dxa"/>
          </w:tcPr>
          <w:p w14:paraId="23782169" w14:textId="6241E094" w:rsidR="009C473F" w:rsidRPr="00EF4CFC" w:rsidRDefault="009C473F" w:rsidP="009C473F">
            <w:pPr>
              <w:pStyle w:val="Default"/>
              <w:jc w:val="center"/>
              <w:rPr>
                <w:rFonts w:asciiTheme="minorHAnsi" w:hAnsiTheme="minorHAnsi" w:cstheme="minorHAnsi"/>
                <w:sz w:val="20"/>
                <w:szCs w:val="20"/>
              </w:rPr>
            </w:pPr>
            <w:r w:rsidRPr="00EF4CFC">
              <w:rPr>
                <w:sz w:val="20"/>
                <w:szCs w:val="20"/>
              </w:rPr>
              <w:t>Mar 2024</w:t>
            </w:r>
          </w:p>
        </w:tc>
      </w:tr>
      <w:tr w:rsidR="009C473F" w:rsidRPr="00474B66" w14:paraId="7BF5E8C7" w14:textId="77777777" w:rsidTr="00EF4CFC">
        <w:trPr>
          <w:trHeight w:val="93"/>
        </w:trPr>
        <w:tc>
          <w:tcPr>
            <w:tcW w:w="568" w:type="dxa"/>
          </w:tcPr>
          <w:p w14:paraId="5728CFD8" w14:textId="2E78F1EB"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8</w:t>
            </w:r>
          </w:p>
        </w:tc>
        <w:tc>
          <w:tcPr>
            <w:tcW w:w="1559" w:type="dxa"/>
            <w:vAlign w:val="bottom"/>
          </w:tcPr>
          <w:p w14:paraId="53BA79D8" w14:textId="145176E5"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33E12E48" w14:textId="144ADC9A"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K4672</w:t>
            </w:r>
          </w:p>
        </w:tc>
        <w:tc>
          <w:tcPr>
            <w:tcW w:w="2693" w:type="dxa"/>
          </w:tcPr>
          <w:p w14:paraId="60B95FB0" w14:textId="16FDB645"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4298D37B" w14:textId="1E4642FF"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0CC99E4E" w14:textId="77777777" w:rsidTr="00EF4CFC">
        <w:trPr>
          <w:trHeight w:val="93"/>
        </w:trPr>
        <w:tc>
          <w:tcPr>
            <w:tcW w:w="568" w:type="dxa"/>
          </w:tcPr>
          <w:p w14:paraId="23F004FE" w14:textId="6815E804"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9</w:t>
            </w:r>
          </w:p>
        </w:tc>
        <w:tc>
          <w:tcPr>
            <w:tcW w:w="1559" w:type="dxa"/>
            <w:vAlign w:val="bottom"/>
          </w:tcPr>
          <w:p w14:paraId="49FC50ED" w14:textId="0884E085"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6FB966F7" w14:textId="6CA6046A"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K4920</w:t>
            </w:r>
          </w:p>
        </w:tc>
        <w:tc>
          <w:tcPr>
            <w:tcW w:w="2693" w:type="dxa"/>
          </w:tcPr>
          <w:p w14:paraId="36B00DE3" w14:textId="380435E4"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1B11968F" w14:textId="14944E83"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3675E793" w14:textId="77777777" w:rsidTr="00EF4CFC">
        <w:trPr>
          <w:trHeight w:val="93"/>
        </w:trPr>
        <w:tc>
          <w:tcPr>
            <w:tcW w:w="568" w:type="dxa"/>
          </w:tcPr>
          <w:p w14:paraId="2DCACC36" w14:textId="218FB7F7"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10</w:t>
            </w:r>
          </w:p>
        </w:tc>
        <w:tc>
          <w:tcPr>
            <w:tcW w:w="1559" w:type="dxa"/>
            <w:vAlign w:val="bottom"/>
          </w:tcPr>
          <w:p w14:paraId="5808FE18" w14:textId="1894B389"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6C08CDAF" w14:textId="1BB84E3D"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K5183</w:t>
            </w:r>
          </w:p>
        </w:tc>
        <w:tc>
          <w:tcPr>
            <w:tcW w:w="2693" w:type="dxa"/>
          </w:tcPr>
          <w:p w14:paraId="28C7B327" w14:textId="089E27DF"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1030AD52" w14:textId="366C41D8"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4C799891" w14:textId="77777777" w:rsidTr="00EF4CFC">
        <w:trPr>
          <w:trHeight w:val="93"/>
        </w:trPr>
        <w:tc>
          <w:tcPr>
            <w:tcW w:w="568" w:type="dxa"/>
          </w:tcPr>
          <w:p w14:paraId="6441C280" w14:textId="0D6F90A5"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11</w:t>
            </w:r>
          </w:p>
        </w:tc>
        <w:tc>
          <w:tcPr>
            <w:tcW w:w="1559" w:type="dxa"/>
            <w:vAlign w:val="bottom"/>
          </w:tcPr>
          <w:p w14:paraId="49CF8902" w14:textId="7226DF45"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39C7E9C5" w14:textId="5850582B"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K5243</w:t>
            </w:r>
          </w:p>
        </w:tc>
        <w:tc>
          <w:tcPr>
            <w:tcW w:w="2693" w:type="dxa"/>
          </w:tcPr>
          <w:p w14:paraId="455FEE74" w14:textId="1D535E70"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0C4BA159" w14:textId="225AA8FC"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5792E779" w14:textId="77777777" w:rsidTr="00EF4CFC">
        <w:trPr>
          <w:trHeight w:val="93"/>
        </w:trPr>
        <w:tc>
          <w:tcPr>
            <w:tcW w:w="568" w:type="dxa"/>
          </w:tcPr>
          <w:p w14:paraId="6FDEC638" w14:textId="0D737635"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12</w:t>
            </w:r>
          </w:p>
        </w:tc>
        <w:tc>
          <w:tcPr>
            <w:tcW w:w="1559" w:type="dxa"/>
            <w:vAlign w:val="bottom"/>
          </w:tcPr>
          <w:p w14:paraId="5067407D" w14:textId="0B118B2A"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2421D5DA" w14:textId="3B1485E7"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K5483</w:t>
            </w:r>
          </w:p>
        </w:tc>
        <w:tc>
          <w:tcPr>
            <w:tcW w:w="2693" w:type="dxa"/>
          </w:tcPr>
          <w:p w14:paraId="4115C8E3" w14:textId="1D61B8E0"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7BC88B3F" w14:textId="48FE2791"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61DFD8CD" w14:textId="77777777" w:rsidTr="00EF4CFC">
        <w:trPr>
          <w:trHeight w:val="93"/>
        </w:trPr>
        <w:tc>
          <w:tcPr>
            <w:tcW w:w="568" w:type="dxa"/>
          </w:tcPr>
          <w:p w14:paraId="39C6E2E7" w14:textId="387B737B"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13</w:t>
            </w:r>
          </w:p>
        </w:tc>
        <w:tc>
          <w:tcPr>
            <w:tcW w:w="1559" w:type="dxa"/>
            <w:vAlign w:val="bottom"/>
          </w:tcPr>
          <w:p w14:paraId="1DFB7882" w14:textId="5940B65F"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534ADCBB" w14:textId="22A14C68"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K5619</w:t>
            </w:r>
          </w:p>
        </w:tc>
        <w:tc>
          <w:tcPr>
            <w:tcW w:w="2693" w:type="dxa"/>
          </w:tcPr>
          <w:p w14:paraId="7A02D30A" w14:textId="20FCE8DB"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5967100E" w14:textId="217DE071"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0DD9CE7F" w14:textId="77777777" w:rsidTr="00EF4CFC">
        <w:trPr>
          <w:trHeight w:val="93"/>
        </w:trPr>
        <w:tc>
          <w:tcPr>
            <w:tcW w:w="568" w:type="dxa"/>
          </w:tcPr>
          <w:p w14:paraId="638D2A01" w14:textId="60F14644"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14</w:t>
            </w:r>
          </w:p>
        </w:tc>
        <w:tc>
          <w:tcPr>
            <w:tcW w:w="1559" w:type="dxa"/>
            <w:vAlign w:val="bottom"/>
          </w:tcPr>
          <w:p w14:paraId="39915A08" w14:textId="75962F7F"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1837AD71" w14:textId="1DA902C4"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K5623</w:t>
            </w:r>
          </w:p>
        </w:tc>
        <w:tc>
          <w:tcPr>
            <w:tcW w:w="2693" w:type="dxa"/>
          </w:tcPr>
          <w:p w14:paraId="2B0574EF" w14:textId="77DBD4C5"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0B63C719" w14:textId="477E72EA"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0B03AE53" w14:textId="77777777" w:rsidTr="00EF4CFC">
        <w:trPr>
          <w:trHeight w:val="93"/>
        </w:trPr>
        <w:tc>
          <w:tcPr>
            <w:tcW w:w="568" w:type="dxa"/>
          </w:tcPr>
          <w:p w14:paraId="77D38B64" w14:textId="1CEB8A3E"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15</w:t>
            </w:r>
          </w:p>
        </w:tc>
        <w:tc>
          <w:tcPr>
            <w:tcW w:w="1559" w:type="dxa"/>
            <w:vAlign w:val="bottom"/>
          </w:tcPr>
          <w:p w14:paraId="09977072" w14:textId="590B63D5"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11C1754C" w14:textId="2501C0A4"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K5846</w:t>
            </w:r>
          </w:p>
        </w:tc>
        <w:tc>
          <w:tcPr>
            <w:tcW w:w="2693" w:type="dxa"/>
          </w:tcPr>
          <w:p w14:paraId="45BD9AB5" w14:textId="4F481A62"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15E4F124" w14:textId="1C291465"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20F36530" w14:textId="77777777" w:rsidTr="00EF4CFC">
        <w:trPr>
          <w:trHeight w:val="93"/>
        </w:trPr>
        <w:tc>
          <w:tcPr>
            <w:tcW w:w="568" w:type="dxa"/>
          </w:tcPr>
          <w:p w14:paraId="27435B21" w14:textId="250C6283"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16</w:t>
            </w:r>
          </w:p>
        </w:tc>
        <w:tc>
          <w:tcPr>
            <w:tcW w:w="1559" w:type="dxa"/>
            <w:vAlign w:val="bottom"/>
          </w:tcPr>
          <w:p w14:paraId="5E0BC492" w14:textId="6F0024A8"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04810F1A" w14:textId="738B232F"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K5806</w:t>
            </w:r>
          </w:p>
        </w:tc>
        <w:tc>
          <w:tcPr>
            <w:tcW w:w="2693" w:type="dxa"/>
          </w:tcPr>
          <w:p w14:paraId="662D07CC" w14:textId="3BD1C07B"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68911584" w14:textId="78D1F2A4"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2F851BF8" w14:textId="77777777" w:rsidTr="00EF4CFC">
        <w:trPr>
          <w:trHeight w:val="95"/>
        </w:trPr>
        <w:tc>
          <w:tcPr>
            <w:tcW w:w="568" w:type="dxa"/>
          </w:tcPr>
          <w:p w14:paraId="347D9C0F" w14:textId="19498D24"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17</w:t>
            </w:r>
          </w:p>
        </w:tc>
        <w:tc>
          <w:tcPr>
            <w:tcW w:w="1559" w:type="dxa"/>
            <w:vAlign w:val="bottom"/>
          </w:tcPr>
          <w:p w14:paraId="51D8B913" w14:textId="2956741E"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300</w:t>
            </w:r>
          </w:p>
        </w:tc>
        <w:tc>
          <w:tcPr>
            <w:tcW w:w="1276" w:type="dxa"/>
            <w:vAlign w:val="bottom"/>
          </w:tcPr>
          <w:p w14:paraId="0240EEA4" w14:textId="74B16428"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K6197</w:t>
            </w:r>
          </w:p>
        </w:tc>
        <w:tc>
          <w:tcPr>
            <w:tcW w:w="2693" w:type="dxa"/>
          </w:tcPr>
          <w:p w14:paraId="100FA9CD" w14:textId="545C5AC0"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43F1D4FF" w14:textId="76125A47"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70D15C47" w14:textId="77777777" w:rsidTr="00EF4CFC">
        <w:trPr>
          <w:trHeight w:val="95"/>
        </w:trPr>
        <w:tc>
          <w:tcPr>
            <w:tcW w:w="568" w:type="dxa"/>
          </w:tcPr>
          <w:p w14:paraId="5D797069" w14:textId="1848A7BD"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18</w:t>
            </w:r>
          </w:p>
        </w:tc>
        <w:tc>
          <w:tcPr>
            <w:tcW w:w="1559" w:type="dxa"/>
            <w:vAlign w:val="bottom"/>
          </w:tcPr>
          <w:p w14:paraId="16DA545F" w14:textId="391E5087"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150</w:t>
            </w:r>
          </w:p>
        </w:tc>
        <w:tc>
          <w:tcPr>
            <w:tcW w:w="1276" w:type="dxa"/>
            <w:vAlign w:val="bottom"/>
          </w:tcPr>
          <w:p w14:paraId="50E38D63" w14:textId="5B0412E6"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K4072</w:t>
            </w:r>
          </w:p>
        </w:tc>
        <w:tc>
          <w:tcPr>
            <w:tcW w:w="2693" w:type="dxa"/>
          </w:tcPr>
          <w:p w14:paraId="44B3F6BE" w14:textId="4655E2D0"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470DA074" w14:textId="67EB168F"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11FCA31E" w14:textId="77777777" w:rsidTr="00EF4CFC">
        <w:trPr>
          <w:trHeight w:val="95"/>
        </w:trPr>
        <w:tc>
          <w:tcPr>
            <w:tcW w:w="568" w:type="dxa"/>
          </w:tcPr>
          <w:p w14:paraId="2ACDFD57" w14:textId="5CE00123"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19</w:t>
            </w:r>
          </w:p>
        </w:tc>
        <w:tc>
          <w:tcPr>
            <w:tcW w:w="1559" w:type="dxa"/>
            <w:vAlign w:val="bottom"/>
          </w:tcPr>
          <w:p w14:paraId="3B7CBBA9" w14:textId="40CD535A"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150</w:t>
            </w:r>
          </w:p>
        </w:tc>
        <w:tc>
          <w:tcPr>
            <w:tcW w:w="1276" w:type="dxa"/>
            <w:vAlign w:val="bottom"/>
          </w:tcPr>
          <w:p w14:paraId="3B38200E" w14:textId="200370A6"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K4558</w:t>
            </w:r>
          </w:p>
        </w:tc>
        <w:tc>
          <w:tcPr>
            <w:tcW w:w="2693" w:type="dxa"/>
          </w:tcPr>
          <w:p w14:paraId="733294DF" w14:textId="3F0558B0"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76861C67" w14:textId="4B281D3F"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160BBD21" w14:textId="77777777" w:rsidTr="00EF4CFC">
        <w:trPr>
          <w:trHeight w:val="95"/>
        </w:trPr>
        <w:tc>
          <w:tcPr>
            <w:tcW w:w="568" w:type="dxa"/>
          </w:tcPr>
          <w:p w14:paraId="240A6794" w14:textId="27D5121F"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20</w:t>
            </w:r>
          </w:p>
        </w:tc>
        <w:tc>
          <w:tcPr>
            <w:tcW w:w="1559" w:type="dxa"/>
            <w:vAlign w:val="bottom"/>
          </w:tcPr>
          <w:p w14:paraId="3E345CA7" w14:textId="72017D9E"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150</w:t>
            </w:r>
          </w:p>
        </w:tc>
        <w:tc>
          <w:tcPr>
            <w:tcW w:w="1276" w:type="dxa"/>
            <w:vAlign w:val="bottom"/>
          </w:tcPr>
          <w:p w14:paraId="79D33BDF" w14:textId="3E3D0EE2"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K4627</w:t>
            </w:r>
          </w:p>
        </w:tc>
        <w:tc>
          <w:tcPr>
            <w:tcW w:w="2693" w:type="dxa"/>
          </w:tcPr>
          <w:p w14:paraId="37ACC59C" w14:textId="4770D0F0" w:rsidR="009C473F" w:rsidRPr="00EF4CFC" w:rsidRDefault="009C473F" w:rsidP="009C473F">
            <w:pPr>
              <w:pStyle w:val="Default"/>
              <w:jc w:val="center"/>
              <w:rPr>
                <w:rFonts w:asciiTheme="minorHAnsi" w:hAnsiTheme="minorHAnsi" w:cstheme="minorHAnsi"/>
                <w:sz w:val="20"/>
                <w:szCs w:val="20"/>
              </w:rPr>
            </w:pPr>
            <w:r w:rsidRPr="00EF4CFC">
              <w:rPr>
                <w:sz w:val="20"/>
                <w:szCs w:val="20"/>
              </w:rPr>
              <w:t>Dec 2023</w:t>
            </w:r>
          </w:p>
        </w:tc>
        <w:tc>
          <w:tcPr>
            <w:tcW w:w="3402" w:type="dxa"/>
          </w:tcPr>
          <w:p w14:paraId="7A25C537" w14:textId="4E0C630D"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r>
      <w:tr w:rsidR="009C473F" w:rsidRPr="00474B66" w14:paraId="34FF146D" w14:textId="77777777" w:rsidTr="00EF4CFC">
        <w:trPr>
          <w:trHeight w:val="95"/>
        </w:trPr>
        <w:tc>
          <w:tcPr>
            <w:tcW w:w="568" w:type="dxa"/>
          </w:tcPr>
          <w:p w14:paraId="5B634F10" w14:textId="79F770FA"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21</w:t>
            </w:r>
          </w:p>
        </w:tc>
        <w:tc>
          <w:tcPr>
            <w:tcW w:w="1559" w:type="dxa"/>
            <w:vAlign w:val="bottom"/>
          </w:tcPr>
          <w:p w14:paraId="0BDCFBDF" w14:textId="4C40B7B9"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150</w:t>
            </w:r>
          </w:p>
        </w:tc>
        <w:tc>
          <w:tcPr>
            <w:tcW w:w="1276" w:type="dxa"/>
            <w:vAlign w:val="bottom"/>
          </w:tcPr>
          <w:p w14:paraId="37B7526F" w14:textId="69D5116A"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K5384</w:t>
            </w:r>
          </w:p>
        </w:tc>
        <w:tc>
          <w:tcPr>
            <w:tcW w:w="2693" w:type="dxa"/>
          </w:tcPr>
          <w:p w14:paraId="0EE23D8D" w14:textId="2E0A0E37" w:rsidR="009C473F" w:rsidRPr="00EF4CFC" w:rsidRDefault="009C473F" w:rsidP="009C473F">
            <w:pPr>
              <w:pStyle w:val="Default"/>
              <w:jc w:val="center"/>
              <w:rPr>
                <w:rFonts w:asciiTheme="minorHAnsi" w:hAnsiTheme="minorHAnsi" w:cstheme="minorHAnsi"/>
                <w:sz w:val="20"/>
                <w:szCs w:val="20"/>
              </w:rPr>
            </w:pPr>
            <w:r w:rsidRPr="00EF4CFC">
              <w:rPr>
                <w:sz w:val="20"/>
                <w:szCs w:val="20"/>
              </w:rPr>
              <w:t>Jan 2024</w:t>
            </w:r>
          </w:p>
        </w:tc>
        <w:tc>
          <w:tcPr>
            <w:tcW w:w="3402" w:type="dxa"/>
          </w:tcPr>
          <w:p w14:paraId="185FF9CE" w14:textId="52D00D60" w:rsidR="009C473F" w:rsidRPr="00EF4CFC" w:rsidRDefault="009C473F" w:rsidP="009C473F">
            <w:pPr>
              <w:pStyle w:val="Default"/>
              <w:jc w:val="center"/>
              <w:rPr>
                <w:rFonts w:asciiTheme="minorHAnsi" w:hAnsiTheme="minorHAnsi" w:cstheme="minorHAnsi"/>
                <w:sz w:val="20"/>
                <w:szCs w:val="20"/>
              </w:rPr>
            </w:pPr>
            <w:r w:rsidRPr="00EF4CFC">
              <w:rPr>
                <w:sz w:val="20"/>
                <w:szCs w:val="20"/>
              </w:rPr>
              <w:t>Mar 2024</w:t>
            </w:r>
          </w:p>
        </w:tc>
      </w:tr>
      <w:tr w:rsidR="009C473F" w:rsidRPr="00474B66" w14:paraId="3E6B1A17" w14:textId="77777777" w:rsidTr="00EF4CFC">
        <w:trPr>
          <w:trHeight w:val="95"/>
        </w:trPr>
        <w:tc>
          <w:tcPr>
            <w:tcW w:w="568" w:type="dxa"/>
          </w:tcPr>
          <w:p w14:paraId="38BF631A" w14:textId="617F90D6"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22</w:t>
            </w:r>
          </w:p>
        </w:tc>
        <w:tc>
          <w:tcPr>
            <w:tcW w:w="1559" w:type="dxa"/>
            <w:vAlign w:val="bottom"/>
          </w:tcPr>
          <w:p w14:paraId="2149BD8E" w14:textId="129DFAF6"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150</w:t>
            </w:r>
          </w:p>
        </w:tc>
        <w:tc>
          <w:tcPr>
            <w:tcW w:w="1276" w:type="dxa"/>
            <w:vAlign w:val="bottom"/>
          </w:tcPr>
          <w:p w14:paraId="24F9B3A6" w14:textId="51B17619"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K4938</w:t>
            </w:r>
          </w:p>
        </w:tc>
        <w:tc>
          <w:tcPr>
            <w:tcW w:w="2693" w:type="dxa"/>
          </w:tcPr>
          <w:p w14:paraId="1A6DB096" w14:textId="200C88E8"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7D1C36B1" w14:textId="1BECEE5F"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r w:rsidR="009C473F" w:rsidRPr="00474B66" w14:paraId="40B31360" w14:textId="77777777" w:rsidTr="00EF4CFC">
        <w:trPr>
          <w:trHeight w:val="95"/>
        </w:trPr>
        <w:tc>
          <w:tcPr>
            <w:tcW w:w="568" w:type="dxa"/>
          </w:tcPr>
          <w:p w14:paraId="2DD4AC83" w14:textId="0A4A73F7" w:rsidR="009C473F" w:rsidRPr="00EF4CFC" w:rsidRDefault="009C473F" w:rsidP="009C473F">
            <w:pPr>
              <w:pStyle w:val="Default"/>
              <w:jc w:val="center"/>
              <w:rPr>
                <w:rFonts w:asciiTheme="minorHAnsi" w:hAnsiTheme="minorHAnsi" w:cstheme="minorHAnsi"/>
                <w:sz w:val="20"/>
                <w:szCs w:val="20"/>
              </w:rPr>
            </w:pPr>
            <w:r w:rsidRPr="00EF4CFC">
              <w:rPr>
                <w:rFonts w:asciiTheme="minorHAnsi" w:hAnsiTheme="minorHAnsi" w:cstheme="minorHAnsi"/>
                <w:sz w:val="20"/>
                <w:szCs w:val="20"/>
              </w:rPr>
              <w:t>23</w:t>
            </w:r>
          </w:p>
        </w:tc>
        <w:tc>
          <w:tcPr>
            <w:tcW w:w="1559" w:type="dxa"/>
            <w:vAlign w:val="bottom"/>
          </w:tcPr>
          <w:p w14:paraId="52EAF45B" w14:textId="6B816DED"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150</w:t>
            </w:r>
          </w:p>
        </w:tc>
        <w:tc>
          <w:tcPr>
            <w:tcW w:w="1276" w:type="dxa"/>
            <w:vAlign w:val="bottom"/>
          </w:tcPr>
          <w:p w14:paraId="1AAD2DF0" w14:textId="5F631EDF" w:rsidR="009C473F" w:rsidRPr="00EF4CFC" w:rsidRDefault="009C473F" w:rsidP="009C473F">
            <w:pPr>
              <w:pStyle w:val="Default"/>
              <w:jc w:val="center"/>
              <w:rPr>
                <w:rFonts w:asciiTheme="minorHAnsi" w:hAnsiTheme="minorHAnsi" w:cstheme="minorHAnsi"/>
                <w:sz w:val="20"/>
                <w:szCs w:val="20"/>
              </w:rPr>
            </w:pPr>
            <w:r w:rsidRPr="00EF4CFC">
              <w:rPr>
                <w:rFonts w:ascii="Calibri" w:hAnsi="Calibri" w:cs="Calibri"/>
                <w:sz w:val="20"/>
                <w:szCs w:val="20"/>
              </w:rPr>
              <w:t>K5453</w:t>
            </w:r>
          </w:p>
        </w:tc>
        <w:tc>
          <w:tcPr>
            <w:tcW w:w="2693" w:type="dxa"/>
          </w:tcPr>
          <w:p w14:paraId="00C812BA" w14:textId="78A441ED" w:rsidR="009C473F" w:rsidRPr="00EF4CFC" w:rsidRDefault="009C473F" w:rsidP="009C473F">
            <w:pPr>
              <w:pStyle w:val="Default"/>
              <w:jc w:val="center"/>
              <w:rPr>
                <w:rFonts w:asciiTheme="minorHAnsi" w:hAnsiTheme="minorHAnsi" w:cstheme="minorHAnsi"/>
                <w:sz w:val="20"/>
                <w:szCs w:val="20"/>
              </w:rPr>
            </w:pPr>
            <w:r w:rsidRPr="00EF4CFC">
              <w:rPr>
                <w:sz w:val="20"/>
                <w:szCs w:val="20"/>
              </w:rPr>
              <w:t>Feb 2024</w:t>
            </w:r>
          </w:p>
        </w:tc>
        <w:tc>
          <w:tcPr>
            <w:tcW w:w="3402" w:type="dxa"/>
          </w:tcPr>
          <w:p w14:paraId="16832870" w14:textId="50821709" w:rsidR="009C473F" w:rsidRPr="00EF4CFC" w:rsidRDefault="009C473F" w:rsidP="009C473F">
            <w:pPr>
              <w:pStyle w:val="Default"/>
              <w:jc w:val="center"/>
              <w:rPr>
                <w:rFonts w:asciiTheme="minorHAnsi" w:hAnsiTheme="minorHAnsi" w:cstheme="minorHAnsi"/>
                <w:sz w:val="20"/>
                <w:szCs w:val="20"/>
              </w:rPr>
            </w:pPr>
            <w:r w:rsidRPr="00EF4CFC">
              <w:rPr>
                <w:sz w:val="20"/>
                <w:szCs w:val="20"/>
              </w:rPr>
              <w:t>Apr 2024</w:t>
            </w:r>
          </w:p>
        </w:tc>
      </w:tr>
    </w:tbl>
    <w:p w14:paraId="18CBA934" w14:textId="77777777" w:rsidR="009C473F" w:rsidRDefault="009C473F" w:rsidP="00474B66">
      <w:pPr>
        <w:pStyle w:val="Default"/>
        <w:rPr>
          <w:rFonts w:asciiTheme="minorHAnsi" w:hAnsiTheme="minorHAnsi" w:cstheme="minorHAnsi"/>
          <w:b/>
          <w:bCs/>
          <w:sz w:val="18"/>
          <w:szCs w:val="18"/>
        </w:rPr>
      </w:pPr>
    </w:p>
    <w:p w14:paraId="548A6CB6" w14:textId="77777777" w:rsidR="009C473F" w:rsidRPr="007E6A08" w:rsidRDefault="009C473F" w:rsidP="00474B66">
      <w:pPr>
        <w:pStyle w:val="Default"/>
        <w:rPr>
          <w:rFonts w:asciiTheme="minorHAnsi" w:hAnsiTheme="minorHAnsi" w:cstheme="minorHAnsi"/>
          <w:b/>
          <w:bCs/>
        </w:rPr>
      </w:pPr>
    </w:p>
    <w:p w14:paraId="26B24EA1" w14:textId="488C9705" w:rsidR="00474B66" w:rsidRPr="007E6A08" w:rsidRDefault="00474B66" w:rsidP="00474B66">
      <w:pPr>
        <w:pStyle w:val="Default"/>
        <w:rPr>
          <w:rFonts w:asciiTheme="minorHAnsi" w:hAnsiTheme="minorHAnsi" w:cstheme="minorHAnsi"/>
          <w:b/>
          <w:bCs/>
        </w:rPr>
      </w:pPr>
      <w:r w:rsidRPr="007E6A08">
        <w:rPr>
          <w:rFonts w:asciiTheme="minorHAnsi" w:hAnsiTheme="minorHAnsi" w:cstheme="minorHAnsi"/>
          <w:b/>
          <w:bCs/>
        </w:rPr>
        <w:lastRenderedPageBreak/>
        <w:t>Important: the extended use only applies to the lots of Jext® 150 mcg</w:t>
      </w:r>
      <w:r w:rsidRPr="007E6A08">
        <w:rPr>
          <w:rFonts w:asciiTheme="minorHAnsi" w:hAnsiTheme="minorHAnsi" w:cstheme="minorHAnsi"/>
        </w:rPr>
        <w:t xml:space="preserve"> </w:t>
      </w:r>
      <w:r w:rsidRPr="007E6A08">
        <w:rPr>
          <w:rFonts w:asciiTheme="minorHAnsi" w:hAnsiTheme="minorHAnsi" w:cstheme="minorHAnsi"/>
          <w:b/>
          <w:bCs/>
        </w:rPr>
        <w:t xml:space="preserve">and Jext® 300 mcg auto-injectors listed above. Patients can continue to use the Jext® auto-injectors of these specified lots safely until the extended use by date as stated above. </w:t>
      </w:r>
    </w:p>
    <w:p w14:paraId="29EF1292" w14:textId="77777777" w:rsidR="00474B66" w:rsidRPr="007E6A08" w:rsidRDefault="00474B66" w:rsidP="00474B66">
      <w:pPr>
        <w:pStyle w:val="Default"/>
        <w:rPr>
          <w:rFonts w:asciiTheme="minorHAnsi" w:hAnsiTheme="minorHAnsi" w:cstheme="minorHAnsi"/>
          <w:b/>
          <w:bCs/>
        </w:rPr>
      </w:pPr>
    </w:p>
    <w:p w14:paraId="5F6F1C06" w14:textId="6ECAB927" w:rsidR="00474B66" w:rsidRPr="007E6A08" w:rsidRDefault="00474B66" w:rsidP="00474B66">
      <w:pPr>
        <w:pStyle w:val="Default"/>
        <w:rPr>
          <w:rFonts w:asciiTheme="minorHAnsi" w:hAnsiTheme="minorHAnsi" w:cstheme="minorHAnsi"/>
          <w:b/>
          <w:bCs/>
        </w:rPr>
      </w:pPr>
      <w:r w:rsidRPr="007E6A08">
        <w:rPr>
          <w:rFonts w:asciiTheme="minorHAnsi" w:hAnsiTheme="minorHAnsi" w:cstheme="minorHAnsi"/>
          <w:b/>
          <w:bCs/>
        </w:rPr>
        <w:t>This extended use does not apply to any other lot number of Jext® auto-injectors not specified. Patients must continue to adhere to the labelled expiry date on any Jext® auto-injector not covered by the lot numbers above</w:t>
      </w:r>
      <w:r w:rsidR="006C0966" w:rsidRPr="007E6A08">
        <w:rPr>
          <w:rFonts w:asciiTheme="minorHAnsi" w:hAnsiTheme="minorHAnsi" w:cstheme="minorHAnsi"/>
          <w:b/>
          <w:bCs/>
        </w:rPr>
        <w:t>.</w:t>
      </w:r>
    </w:p>
    <w:p w14:paraId="0D8FF350" w14:textId="6675F1D7" w:rsidR="009C473F" w:rsidRPr="007E6A08" w:rsidRDefault="009C473F" w:rsidP="00474B66">
      <w:pPr>
        <w:pStyle w:val="Default"/>
        <w:rPr>
          <w:rFonts w:asciiTheme="minorHAnsi" w:hAnsiTheme="minorHAnsi" w:cstheme="minorHAnsi"/>
          <w:b/>
          <w:bCs/>
        </w:rPr>
      </w:pPr>
    </w:p>
    <w:p w14:paraId="55CBC4A2" w14:textId="77777777" w:rsidR="009C473F" w:rsidRPr="007E6A08" w:rsidRDefault="009C473F" w:rsidP="00474B66">
      <w:pPr>
        <w:pStyle w:val="Default"/>
        <w:rPr>
          <w:rFonts w:asciiTheme="minorHAnsi" w:hAnsiTheme="minorHAnsi" w:cstheme="minorHAnsi"/>
          <w:b/>
          <w:bCs/>
        </w:rPr>
      </w:pPr>
    </w:p>
    <w:p w14:paraId="723D5DDB" w14:textId="79A3E0E2" w:rsidR="00474B66" w:rsidRPr="007E6A08" w:rsidRDefault="00474B66" w:rsidP="00474B66">
      <w:pPr>
        <w:pStyle w:val="Default"/>
        <w:rPr>
          <w:rFonts w:asciiTheme="minorHAnsi" w:hAnsiTheme="minorHAnsi" w:cstheme="minorHAnsi"/>
          <w:b/>
          <w:bCs/>
          <w:u w:val="single"/>
        </w:rPr>
      </w:pPr>
      <w:r w:rsidRPr="007E6A08">
        <w:rPr>
          <w:rFonts w:asciiTheme="minorHAnsi" w:hAnsiTheme="minorHAnsi" w:cstheme="minorHAnsi"/>
          <w:b/>
          <w:bCs/>
          <w:u w:val="single"/>
        </w:rPr>
        <w:t xml:space="preserve">Further information on the extended use of the listed lots of Jext® auto-injectors </w:t>
      </w:r>
    </w:p>
    <w:p w14:paraId="1EF72DBF" w14:textId="0DA93593" w:rsidR="00474B66" w:rsidRPr="007E6A08" w:rsidRDefault="00474B66" w:rsidP="00474B66">
      <w:pPr>
        <w:pStyle w:val="Default"/>
        <w:rPr>
          <w:rFonts w:asciiTheme="minorHAnsi" w:hAnsiTheme="minorHAnsi" w:cstheme="minorHAnsi"/>
        </w:rPr>
      </w:pPr>
    </w:p>
    <w:p w14:paraId="2F78EF71" w14:textId="054D4CD5" w:rsidR="006C7E4D" w:rsidRPr="007E6A08" w:rsidRDefault="006C7E4D" w:rsidP="00474B66">
      <w:pPr>
        <w:pStyle w:val="Default"/>
        <w:rPr>
          <w:rFonts w:asciiTheme="minorHAnsi" w:hAnsiTheme="minorHAnsi" w:cstheme="minorHAnsi"/>
        </w:rPr>
      </w:pPr>
      <w:r w:rsidRPr="007E6A08">
        <w:rPr>
          <w:rFonts w:asciiTheme="minorHAnsi" w:hAnsiTheme="minorHAnsi" w:cstheme="minorHAnsi"/>
          <w:color w:val="auto"/>
        </w:rPr>
        <w:t xml:space="preserve">There is currently a shortage of Jext® adrenaline auto-injectors in the UK. </w:t>
      </w:r>
      <w:r w:rsidRPr="007E6A08">
        <w:rPr>
          <w:rFonts w:asciiTheme="minorHAnsi" w:hAnsiTheme="minorHAnsi" w:cstheme="minorHAnsi"/>
        </w:rPr>
        <w:t xml:space="preserve">Due to the recent recall of a competitor product, we have seen an increased demand for </w:t>
      </w:r>
      <w:r w:rsidRPr="007E6A08">
        <w:rPr>
          <w:rFonts w:asciiTheme="minorHAnsi" w:eastAsia="Calibri" w:hAnsiTheme="minorHAnsi" w:cstheme="minorHAnsi"/>
          <w:lang w:val="en-US"/>
        </w:rPr>
        <w:t xml:space="preserve">JEXT® in all </w:t>
      </w:r>
      <w:r w:rsidR="007E6A08" w:rsidRPr="007E6A08">
        <w:rPr>
          <w:rFonts w:asciiTheme="minorHAnsi" w:eastAsia="Calibri" w:hAnsiTheme="minorHAnsi" w:cstheme="minorHAnsi"/>
          <w:lang w:val="en-US"/>
        </w:rPr>
        <w:t>countries.</w:t>
      </w:r>
    </w:p>
    <w:p w14:paraId="70BE424F" w14:textId="77777777" w:rsidR="00474B66" w:rsidRPr="007E6A08" w:rsidRDefault="00474B66" w:rsidP="00474B66">
      <w:pPr>
        <w:pStyle w:val="Default"/>
        <w:rPr>
          <w:rFonts w:asciiTheme="minorHAnsi" w:hAnsiTheme="minorHAnsi" w:cstheme="minorHAnsi"/>
        </w:rPr>
      </w:pPr>
    </w:p>
    <w:p w14:paraId="61F63794" w14:textId="52492F6A"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t xml:space="preserve">To further ease the shortfall, the period that </w:t>
      </w:r>
      <w:r w:rsidR="00283A8E" w:rsidRPr="007E6A08">
        <w:rPr>
          <w:rFonts w:asciiTheme="minorHAnsi" w:hAnsiTheme="minorHAnsi" w:cstheme="minorHAnsi"/>
        </w:rPr>
        <w:t xml:space="preserve">23 </w:t>
      </w:r>
      <w:r w:rsidRPr="007E6A08">
        <w:rPr>
          <w:rFonts w:asciiTheme="minorHAnsi" w:hAnsiTheme="minorHAnsi" w:cstheme="minorHAnsi"/>
        </w:rPr>
        <w:t xml:space="preserve">specific lots of Jext® 150 mcg and Jext® 300 auto-injectors (listed above) can be used has been extended by </w:t>
      </w:r>
      <w:r w:rsidR="00283A8E" w:rsidRPr="007E6A08">
        <w:rPr>
          <w:rFonts w:asciiTheme="minorHAnsi" w:hAnsiTheme="minorHAnsi" w:cstheme="minorHAnsi"/>
        </w:rPr>
        <w:t xml:space="preserve">two </w:t>
      </w:r>
      <w:r w:rsidRPr="007E6A08">
        <w:rPr>
          <w:rFonts w:asciiTheme="minorHAnsi" w:hAnsiTheme="minorHAnsi" w:cstheme="minorHAnsi"/>
        </w:rPr>
        <w:t xml:space="preserve">months beyond the labelled expiry date on the pack. </w:t>
      </w:r>
    </w:p>
    <w:p w14:paraId="69D198EE" w14:textId="77777777" w:rsidR="00474B66" w:rsidRPr="007E6A08" w:rsidRDefault="00474B66" w:rsidP="00474B66">
      <w:pPr>
        <w:pStyle w:val="Default"/>
        <w:rPr>
          <w:rFonts w:asciiTheme="minorHAnsi" w:hAnsiTheme="minorHAnsi" w:cstheme="minorHAnsi"/>
        </w:rPr>
      </w:pPr>
    </w:p>
    <w:p w14:paraId="693D47A5" w14:textId="39D2A8FA"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t xml:space="preserve">Lot numbers and labelled expiry dates are marked on the end-flap of the box and on the auto-injector label itself.  This extended use of </w:t>
      </w:r>
      <w:r w:rsidR="00283A8E" w:rsidRPr="007E6A08">
        <w:rPr>
          <w:rFonts w:asciiTheme="minorHAnsi" w:hAnsiTheme="minorHAnsi" w:cstheme="minorHAnsi"/>
        </w:rPr>
        <w:t xml:space="preserve">two </w:t>
      </w:r>
      <w:r w:rsidRPr="007E6A08">
        <w:rPr>
          <w:rFonts w:asciiTheme="minorHAnsi" w:hAnsiTheme="minorHAnsi" w:cstheme="minorHAnsi"/>
        </w:rPr>
        <w:t xml:space="preserve">months beyond the labelled expiry date for the specific lots is based on supportive stability data for Jext® auto-injectors and has been reviewed by the MHRA. The Jext® auto-injectors of these specific lots will continue to work safely and as intended within the allowed extended use by date. The Jext® auto-injectors should continue to be stored as labelled on the pack. </w:t>
      </w:r>
    </w:p>
    <w:p w14:paraId="33C69360" w14:textId="77777777" w:rsidR="00474B66" w:rsidRPr="007E6A08" w:rsidRDefault="00474B66" w:rsidP="00474B66">
      <w:pPr>
        <w:pStyle w:val="Default"/>
        <w:rPr>
          <w:rFonts w:asciiTheme="minorHAnsi" w:hAnsiTheme="minorHAnsi" w:cstheme="minorHAnsi"/>
        </w:rPr>
      </w:pPr>
    </w:p>
    <w:p w14:paraId="6EF266DF" w14:textId="28E4CE5C"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t xml:space="preserve">At the end of the extended use period (the end of the month listed in the right column of the table above), a new auto-injector will still need to be obtained. </w:t>
      </w:r>
    </w:p>
    <w:p w14:paraId="6CCD6879" w14:textId="77777777" w:rsidR="00474B66" w:rsidRPr="007E6A08" w:rsidRDefault="00474B66" w:rsidP="00474B66">
      <w:pPr>
        <w:pStyle w:val="Default"/>
        <w:rPr>
          <w:rFonts w:asciiTheme="minorHAnsi" w:hAnsiTheme="minorHAnsi" w:cstheme="minorHAnsi"/>
        </w:rPr>
      </w:pPr>
    </w:p>
    <w:p w14:paraId="29C3C357" w14:textId="77777777" w:rsidR="009C473F" w:rsidRPr="007E6A08" w:rsidRDefault="009C473F" w:rsidP="00474B66">
      <w:pPr>
        <w:pStyle w:val="Default"/>
        <w:rPr>
          <w:rFonts w:asciiTheme="minorHAnsi" w:hAnsiTheme="minorHAnsi" w:cstheme="minorHAnsi"/>
          <w:b/>
          <w:bCs/>
          <w:u w:val="single"/>
        </w:rPr>
      </w:pPr>
    </w:p>
    <w:p w14:paraId="6461625C" w14:textId="6227BE7E" w:rsidR="00474B66" w:rsidRPr="007E6A08" w:rsidRDefault="00474B66" w:rsidP="00474B66">
      <w:pPr>
        <w:pStyle w:val="Default"/>
        <w:rPr>
          <w:rFonts w:asciiTheme="minorHAnsi" w:hAnsiTheme="minorHAnsi" w:cstheme="minorHAnsi"/>
          <w:b/>
          <w:bCs/>
          <w:u w:val="single"/>
        </w:rPr>
      </w:pPr>
      <w:r w:rsidRPr="007E6A08">
        <w:rPr>
          <w:rFonts w:asciiTheme="minorHAnsi" w:hAnsiTheme="minorHAnsi" w:cstheme="minorHAnsi"/>
          <w:b/>
          <w:bCs/>
          <w:u w:val="single"/>
        </w:rPr>
        <w:t xml:space="preserve">Further information on recommendations to healthcare professionals </w:t>
      </w:r>
    </w:p>
    <w:p w14:paraId="400F921F" w14:textId="77777777" w:rsidR="00474B66" w:rsidRPr="007E6A08" w:rsidRDefault="00474B66" w:rsidP="00474B66">
      <w:pPr>
        <w:pStyle w:val="Default"/>
        <w:rPr>
          <w:rFonts w:asciiTheme="minorHAnsi" w:hAnsiTheme="minorHAnsi" w:cstheme="minorHAnsi"/>
        </w:rPr>
      </w:pPr>
    </w:p>
    <w:p w14:paraId="07074C40" w14:textId="184A8166"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t xml:space="preserve">• Tell patients and caregivers about the extended use by date of the specified lots of Jext® 150 mcg and 300 mcg auto-injectors as listed above. This does not apply to other lots of Jext® auto-injectors not listed. </w:t>
      </w:r>
    </w:p>
    <w:p w14:paraId="3E04EB26" w14:textId="77777777" w:rsidR="00474B66" w:rsidRPr="007E6A08" w:rsidRDefault="00474B66" w:rsidP="00474B66">
      <w:pPr>
        <w:pStyle w:val="Default"/>
        <w:rPr>
          <w:rFonts w:asciiTheme="minorHAnsi" w:hAnsiTheme="minorHAnsi" w:cstheme="minorHAnsi"/>
        </w:rPr>
      </w:pPr>
    </w:p>
    <w:p w14:paraId="5DBDD79C" w14:textId="77777777"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t xml:space="preserve">• Show patients and caregivers where to find the lot numbers on their device (on the end-flap of the box and if necessary, on the device label itself) and encourage them to sign up for the Expiry Alert Service. </w:t>
      </w:r>
    </w:p>
    <w:p w14:paraId="57056E76" w14:textId="77777777" w:rsidR="00474B66" w:rsidRPr="007E6A08" w:rsidRDefault="00474B66" w:rsidP="00474B66">
      <w:pPr>
        <w:pStyle w:val="Default"/>
        <w:rPr>
          <w:rFonts w:asciiTheme="minorHAnsi" w:hAnsiTheme="minorHAnsi" w:cstheme="minorHAnsi"/>
        </w:rPr>
      </w:pPr>
    </w:p>
    <w:p w14:paraId="066B8933" w14:textId="77777777" w:rsidR="00474B66" w:rsidRPr="007E6A08" w:rsidRDefault="00474B66" w:rsidP="00474B66">
      <w:pPr>
        <w:pStyle w:val="Default"/>
        <w:rPr>
          <w:rFonts w:asciiTheme="minorHAnsi" w:hAnsiTheme="minorHAnsi" w:cstheme="minorHAnsi"/>
        </w:rPr>
      </w:pPr>
      <w:r w:rsidRPr="00EF4CFC">
        <w:rPr>
          <w:rFonts w:asciiTheme="minorHAnsi" w:hAnsiTheme="minorHAnsi" w:cstheme="minorHAnsi"/>
        </w:rPr>
        <w:t>• Reassure patients and caregivers that their device will continue to work safely over the extended</w:t>
      </w:r>
      <w:r w:rsidRPr="007E6A08">
        <w:rPr>
          <w:rFonts w:asciiTheme="minorHAnsi" w:hAnsiTheme="minorHAnsi" w:cstheme="minorHAnsi"/>
        </w:rPr>
        <w:t xml:space="preserve"> use period. </w:t>
      </w:r>
    </w:p>
    <w:p w14:paraId="667B2551" w14:textId="77777777" w:rsidR="00474B66" w:rsidRPr="007E6A08" w:rsidRDefault="00474B66" w:rsidP="00474B66">
      <w:pPr>
        <w:pStyle w:val="Default"/>
        <w:rPr>
          <w:rFonts w:asciiTheme="minorHAnsi" w:hAnsiTheme="minorHAnsi" w:cstheme="minorHAnsi"/>
        </w:rPr>
      </w:pPr>
    </w:p>
    <w:p w14:paraId="1D5392AF" w14:textId="77777777"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t xml:space="preserve">• Remind patients and caregivers that they should still obtain a new device near the end of the extended use period. </w:t>
      </w:r>
    </w:p>
    <w:p w14:paraId="2A2EF986" w14:textId="77777777" w:rsidR="00474B66" w:rsidRPr="007E6A08" w:rsidRDefault="00474B66" w:rsidP="00474B66">
      <w:pPr>
        <w:pStyle w:val="Default"/>
        <w:rPr>
          <w:rFonts w:asciiTheme="minorHAnsi" w:hAnsiTheme="minorHAnsi" w:cstheme="minorHAnsi"/>
        </w:rPr>
      </w:pPr>
    </w:p>
    <w:p w14:paraId="67275B20" w14:textId="77777777" w:rsidR="00474B66" w:rsidRPr="007E6A08" w:rsidRDefault="00474B66" w:rsidP="00474B66">
      <w:pPr>
        <w:pStyle w:val="Default"/>
        <w:rPr>
          <w:rFonts w:asciiTheme="minorHAnsi" w:hAnsiTheme="minorHAnsi" w:cstheme="minorHAnsi"/>
        </w:rPr>
      </w:pPr>
      <w:r w:rsidRPr="007E6A08">
        <w:rPr>
          <w:rFonts w:asciiTheme="minorHAnsi" w:hAnsiTheme="minorHAnsi" w:cstheme="minorHAnsi"/>
        </w:rPr>
        <w:lastRenderedPageBreak/>
        <w:t xml:space="preserve">• Advise patients to continue to check periodically the viewing window in the label of their device to ensure the liquid inside is clear and colourless. Do not use the device if the liquid is discoloured. </w:t>
      </w:r>
    </w:p>
    <w:p w14:paraId="6BDFC578" w14:textId="77777777" w:rsidR="00474B66" w:rsidRPr="007E6A08" w:rsidRDefault="00474B66" w:rsidP="00474B66">
      <w:pPr>
        <w:pStyle w:val="Default"/>
        <w:rPr>
          <w:rFonts w:asciiTheme="minorHAnsi" w:hAnsiTheme="minorHAnsi" w:cstheme="minorHAnsi"/>
        </w:rPr>
      </w:pPr>
    </w:p>
    <w:p w14:paraId="2B839A93" w14:textId="71B23608" w:rsidR="00474B66" w:rsidRPr="007E6A08" w:rsidRDefault="00474B66" w:rsidP="00474B66">
      <w:pPr>
        <w:rPr>
          <w:rFonts w:cstheme="minorHAnsi"/>
          <w:sz w:val="24"/>
          <w:szCs w:val="24"/>
        </w:rPr>
      </w:pPr>
      <w:r w:rsidRPr="007E6A08">
        <w:rPr>
          <w:rFonts w:cstheme="minorHAnsi"/>
          <w:sz w:val="24"/>
          <w:szCs w:val="24"/>
        </w:rPr>
        <w:t xml:space="preserve">This announcement regarding the extended use of certain batches supersedes any notification that a patient may receive via the expiry alert service from www.jext.co.uk. If you require additional information or have any questions, please contact ALK Customer Services: </w:t>
      </w:r>
      <w:r w:rsidRPr="007E6A08">
        <w:rPr>
          <w:rFonts w:cstheme="minorHAnsi"/>
          <w:b/>
          <w:bCs/>
          <w:sz w:val="24"/>
          <w:szCs w:val="24"/>
        </w:rPr>
        <w:t>0118 903 7940</w:t>
      </w:r>
      <w:r w:rsidR="009C473F" w:rsidRPr="007E6A08">
        <w:rPr>
          <w:rFonts w:cstheme="minorHAnsi"/>
          <w:b/>
          <w:bCs/>
          <w:sz w:val="24"/>
          <w:szCs w:val="24"/>
        </w:rPr>
        <w:t xml:space="preserve"> or infouk@alk.net</w:t>
      </w:r>
      <w:r w:rsidRPr="007E6A08">
        <w:rPr>
          <w:rFonts w:cstheme="minorHAnsi"/>
          <w:sz w:val="24"/>
          <w:szCs w:val="24"/>
        </w:rPr>
        <w:t>.</w:t>
      </w:r>
    </w:p>
    <w:p w14:paraId="5315371B" w14:textId="77777777" w:rsidR="007E6A08" w:rsidRPr="007E6A08" w:rsidRDefault="007E6A08" w:rsidP="00474B66">
      <w:pPr>
        <w:rPr>
          <w:rFonts w:cstheme="minorHAnsi"/>
          <w:sz w:val="24"/>
          <w:szCs w:val="24"/>
          <w:u w:val="single"/>
        </w:rPr>
      </w:pPr>
    </w:p>
    <w:p w14:paraId="3DFCA270" w14:textId="77777777" w:rsidR="00EF4CFC" w:rsidRDefault="00474B66" w:rsidP="00EF4CFC">
      <w:pPr>
        <w:pStyle w:val="Default"/>
        <w:rPr>
          <w:rFonts w:asciiTheme="minorHAnsi" w:hAnsiTheme="minorHAnsi" w:cstheme="minorHAnsi"/>
          <w:b/>
          <w:bCs/>
          <w:u w:val="single"/>
        </w:rPr>
      </w:pPr>
      <w:r w:rsidRPr="00EF4CFC">
        <w:rPr>
          <w:rFonts w:asciiTheme="minorHAnsi" w:hAnsiTheme="minorHAnsi" w:cstheme="minorHAnsi"/>
          <w:b/>
          <w:bCs/>
          <w:u w:val="single"/>
        </w:rPr>
        <w:t xml:space="preserve">Call for </w:t>
      </w:r>
      <w:r w:rsidR="006C7E4D" w:rsidRPr="00EF4CFC">
        <w:rPr>
          <w:rFonts w:asciiTheme="minorHAnsi" w:hAnsiTheme="minorHAnsi" w:cstheme="minorHAnsi"/>
          <w:b/>
          <w:bCs/>
          <w:u w:val="single"/>
        </w:rPr>
        <w:t>reporting.</w:t>
      </w:r>
      <w:r w:rsidRPr="00EF4CFC">
        <w:rPr>
          <w:rFonts w:asciiTheme="minorHAnsi" w:hAnsiTheme="minorHAnsi" w:cstheme="minorHAnsi"/>
          <w:b/>
          <w:bCs/>
          <w:u w:val="single"/>
        </w:rPr>
        <w:t xml:space="preserve"> </w:t>
      </w:r>
    </w:p>
    <w:p w14:paraId="1DD625D0" w14:textId="08DA690C" w:rsidR="00EF4CFC" w:rsidRPr="00EF4CFC" w:rsidRDefault="00EF4CFC" w:rsidP="00EF4CFC">
      <w:pPr>
        <w:pStyle w:val="Default"/>
        <w:rPr>
          <w:rFonts w:asciiTheme="minorHAnsi" w:hAnsiTheme="minorHAnsi" w:cstheme="minorHAnsi"/>
          <w:b/>
          <w:bCs/>
          <w:u w:val="single"/>
        </w:rPr>
      </w:pPr>
      <w:r w:rsidRPr="00EF4CFC">
        <w:rPr>
          <w:rFonts w:asciiTheme="minorHAnsi" w:hAnsiTheme="minorHAnsi" w:cstheme="minorHAnsi"/>
          <w:color w:val="0B0C0C"/>
        </w:rPr>
        <w:t>Please continue to report suspected adverse drug reactions (ADRs) to the MHRA through the Yellow Card scheme.</w:t>
      </w:r>
    </w:p>
    <w:p w14:paraId="3B755AAE" w14:textId="77777777" w:rsidR="00EF4CFC" w:rsidRPr="00EF4CFC" w:rsidRDefault="00EF4CFC" w:rsidP="00EF4CFC">
      <w:pPr>
        <w:pStyle w:val="NormalWeb"/>
        <w:shd w:val="clear" w:color="auto" w:fill="FFFFFF"/>
        <w:spacing w:before="300" w:beforeAutospacing="0" w:after="300" w:afterAutospacing="0"/>
        <w:rPr>
          <w:rFonts w:asciiTheme="minorHAnsi" w:hAnsiTheme="minorHAnsi" w:cstheme="minorHAnsi"/>
          <w:color w:val="0B0C0C"/>
        </w:rPr>
      </w:pPr>
      <w:r w:rsidRPr="00EF4CFC">
        <w:rPr>
          <w:rFonts w:asciiTheme="minorHAnsi" w:hAnsiTheme="minorHAnsi" w:cstheme="minorHAnsi"/>
          <w:color w:val="0B0C0C"/>
        </w:rPr>
        <w:t>Please report:</w:t>
      </w:r>
    </w:p>
    <w:p w14:paraId="20248EF1" w14:textId="77777777" w:rsidR="00EF4CFC" w:rsidRPr="00EF4CFC" w:rsidRDefault="00EF4CFC" w:rsidP="00EF4CFC">
      <w:pPr>
        <w:pStyle w:val="ListParagraph"/>
        <w:numPr>
          <w:ilvl w:val="0"/>
          <w:numId w:val="10"/>
        </w:numPr>
        <w:shd w:val="clear" w:color="auto" w:fill="FFFFFF"/>
        <w:spacing w:after="75" w:line="240" w:lineRule="auto"/>
        <w:rPr>
          <w:rFonts w:cstheme="minorHAnsi"/>
          <w:color w:val="0B0C0C"/>
          <w:sz w:val="24"/>
          <w:szCs w:val="24"/>
        </w:rPr>
      </w:pPr>
      <w:r w:rsidRPr="00EF4CFC">
        <w:rPr>
          <w:rFonts w:cstheme="minorHAnsi"/>
          <w:color w:val="0B0C0C"/>
          <w:sz w:val="24"/>
          <w:szCs w:val="24"/>
        </w:rPr>
        <w:t xml:space="preserve">all suspected ADRs that are serious or result in harm. Serious reactions are those that are fatal, life-threatening, disabling or incapacitating, those that cause a congenital abnormality or result in hospitalisation, and those that are considered medically significant for any other </w:t>
      </w:r>
      <w:proofErr w:type="gramStart"/>
      <w:r w:rsidRPr="00EF4CFC">
        <w:rPr>
          <w:rFonts w:cstheme="minorHAnsi"/>
          <w:color w:val="0B0C0C"/>
          <w:sz w:val="24"/>
          <w:szCs w:val="24"/>
        </w:rPr>
        <w:t>reason</w:t>
      </w:r>
      <w:proofErr w:type="gramEnd"/>
    </w:p>
    <w:p w14:paraId="358C8333" w14:textId="77777777" w:rsidR="00EF4CFC" w:rsidRPr="00EF4CFC" w:rsidRDefault="00EF4CFC" w:rsidP="00EF4CFC">
      <w:pPr>
        <w:pStyle w:val="ListParagraph"/>
        <w:numPr>
          <w:ilvl w:val="0"/>
          <w:numId w:val="10"/>
        </w:numPr>
        <w:shd w:val="clear" w:color="auto" w:fill="FFFFFF"/>
        <w:spacing w:after="75" w:line="240" w:lineRule="auto"/>
        <w:rPr>
          <w:rFonts w:cstheme="minorHAnsi"/>
          <w:color w:val="0B0C0C"/>
          <w:sz w:val="24"/>
          <w:szCs w:val="24"/>
        </w:rPr>
      </w:pPr>
      <w:r w:rsidRPr="00EF4CFC">
        <w:rPr>
          <w:rFonts w:cstheme="minorHAnsi"/>
          <w:color w:val="0B0C0C"/>
          <w:sz w:val="24"/>
          <w:szCs w:val="24"/>
        </w:rPr>
        <w:t xml:space="preserve">all suspected ADRs associated with new drugs and vaccines identified by the black triangle </w:t>
      </w:r>
      <w:r w:rsidRPr="00EF4CFC">
        <w:rPr>
          <w:rFonts w:ascii="Arial" w:hAnsi="Arial" w:cs="Arial"/>
          <w:color w:val="0B0C0C"/>
          <w:sz w:val="24"/>
          <w:szCs w:val="24"/>
        </w:rPr>
        <w:t>▼</w:t>
      </w:r>
    </w:p>
    <w:p w14:paraId="6A921896" w14:textId="77777777" w:rsidR="00EF4CFC" w:rsidRPr="00EF4CFC" w:rsidRDefault="00EF4CFC" w:rsidP="00EF4CFC">
      <w:pPr>
        <w:pStyle w:val="NormalWeb"/>
        <w:shd w:val="clear" w:color="auto" w:fill="FFFFFF"/>
        <w:spacing w:before="300" w:beforeAutospacing="0" w:after="300" w:afterAutospacing="0"/>
        <w:rPr>
          <w:rFonts w:asciiTheme="minorHAnsi" w:hAnsiTheme="minorHAnsi" w:cstheme="minorHAnsi"/>
          <w:color w:val="0B0C0C"/>
        </w:rPr>
      </w:pPr>
      <w:r w:rsidRPr="00EF4CFC">
        <w:rPr>
          <w:rFonts w:asciiTheme="minorHAnsi" w:hAnsiTheme="minorHAnsi" w:cstheme="minorHAnsi"/>
          <w:color w:val="0B0C0C"/>
        </w:rPr>
        <w:t>You can report via:</w:t>
      </w:r>
    </w:p>
    <w:p w14:paraId="7F15AD8D" w14:textId="41892663" w:rsidR="00EF4CFC" w:rsidRDefault="00EF4CFC" w:rsidP="00EF4CFC">
      <w:pPr>
        <w:numPr>
          <w:ilvl w:val="0"/>
          <w:numId w:val="9"/>
        </w:numPr>
        <w:shd w:val="clear" w:color="auto" w:fill="FFFFFF"/>
        <w:spacing w:after="75" w:line="240" w:lineRule="auto"/>
        <w:ind w:left="1020"/>
        <w:rPr>
          <w:rFonts w:cstheme="minorHAnsi"/>
          <w:color w:val="0B0C0C"/>
          <w:sz w:val="24"/>
          <w:szCs w:val="24"/>
        </w:rPr>
      </w:pPr>
      <w:r w:rsidRPr="00EF4CFC">
        <w:rPr>
          <w:rFonts w:cstheme="minorHAnsi"/>
          <w:color w:val="0B0C0C"/>
          <w:sz w:val="24"/>
          <w:szCs w:val="24"/>
        </w:rPr>
        <w:t>the</w:t>
      </w:r>
      <w:r>
        <w:rPr>
          <w:rFonts w:cstheme="minorHAnsi"/>
          <w:color w:val="0B0C0C"/>
          <w:sz w:val="24"/>
          <w:szCs w:val="24"/>
        </w:rPr>
        <w:t xml:space="preserve"> Yellow Card website </w:t>
      </w:r>
      <w:hyperlink r:id="rId8" w:history="1">
        <w:r w:rsidRPr="00C16F8F">
          <w:rPr>
            <w:rStyle w:val="Hyperlink"/>
            <w:rFonts w:cstheme="minorHAnsi"/>
            <w:sz w:val="24"/>
            <w:szCs w:val="24"/>
          </w:rPr>
          <w:t>https://yellowcard.mhra.gov.uk/</w:t>
        </w:r>
      </w:hyperlink>
    </w:p>
    <w:p w14:paraId="294382FB" w14:textId="0CC27C57" w:rsidR="00EF4CFC" w:rsidRPr="00EF4CFC" w:rsidRDefault="00EF4CFC" w:rsidP="00EF4CFC">
      <w:pPr>
        <w:numPr>
          <w:ilvl w:val="0"/>
          <w:numId w:val="9"/>
        </w:numPr>
        <w:shd w:val="clear" w:color="auto" w:fill="FFFFFF"/>
        <w:spacing w:after="75" w:line="240" w:lineRule="auto"/>
        <w:ind w:left="1020"/>
        <w:rPr>
          <w:rFonts w:cstheme="minorHAnsi"/>
          <w:color w:val="0B0C0C"/>
          <w:sz w:val="24"/>
          <w:szCs w:val="24"/>
        </w:rPr>
      </w:pPr>
      <w:r w:rsidRPr="00EF4CFC">
        <w:rPr>
          <w:rFonts w:cstheme="minorHAnsi"/>
          <w:color w:val="0B0C0C"/>
          <w:sz w:val="24"/>
          <w:szCs w:val="24"/>
        </w:rPr>
        <w:t>the free Yellow Card app available from the Apple App Store or Google Play Store</w:t>
      </w:r>
    </w:p>
    <w:p w14:paraId="1E048F29" w14:textId="77777777" w:rsidR="00EF4CFC" w:rsidRPr="00EF4CFC" w:rsidRDefault="00EF4CFC" w:rsidP="00EF4CFC">
      <w:pPr>
        <w:numPr>
          <w:ilvl w:val="0"/>
          <w:numId w:val="9"/>
        </w:numPr>
        <w:shd w:val="clear" w:color="auto" w:fill="FFFFFF"/>
        <w:spacing w:after="75" w:line="240" w:lineRule="auto"/>
        <w:ind w:left="1020"/>
        <w:rPr>
          <w:rFonts w:cstheme="minorHAnsi"/>
          <w:color w:val="0B0C0C"/>
          <w:sz w:val="24"/>
          <w:szCs w:val="24"/>
        </w:rPr>
      </w:pPr>
      <w:r w:rsidRPr="00EF4CFC">
        <w:rPr>
          <w:rFonts w:cstheme="minorHAnsi"/>
          <w:color w:val="0B0C0C"/>
          <w:sz w:val="24"/>
          <w:szCs w:val="24"/>
        </w:rPr>
        <w:t>some clinical IT systems (EMIS/</w:t>
      </w:r>
      <w:proofErr w:type="spellStart"/>
      <w:r w:rsidRPr="00EF4CFC">
        <w:rPr>
          <w:rFonts w:cstheme="minorHAnsi"/>
          <w:color w:val="0B0C0C"/>
          <w:sz w:val="24"/>
          <w:szCs w:val="24"/>
        </w:rPr>
        <w:t>SystmOne</w:t>
      </w:r>
      <w:proofErr w:type="spellEnd"/>
      <w:r w:rsidRPr="00EF4CFC">
        <w:rPr>
          <w:rFonts w:cstheme="minorHAnsi"/>
          <w:color w:val="0B0C0C"/>
          <w:sz w:val="24"/>
          <w:szCs w:val="24"/>
        </w:rPr>
        <w:t>/Vision/</w:t>
      </w:r>
      <w:proofErr w:type="spellStart"/>
      <w:r w:rsidRPr="00EF4CFC">
        <w:rPr>
          <w:rFonts w:cstheme="minorHAnsi"/>
          <w:color w:val="0B0C0C"/>
          <w:sz w:val="24"/>
          <w:szCs w:val="24"/>
        </w:rPr>
        <w:t>MiDatabank</w:t>
      </w:r>
      <w:proofErr w:type="spellEnd"/>
      <w:r w:rsidRPr="00EF4CFC">
        <w:rPr>
          <w:rFonts w:cstheme="minorHAnsi"/>
          <w:color w:val="0B0C0C"/>
          <w:sz w:val="24"/>
          <w:szCs w:val="24"/>
        </w:rPr>
        <w:t>) for healthcare professionals</w:t>
      </w:r>
    </w:p>
    <w:p w14:paraId="2FF4D650" w14:textId="77777777" w:rsidR="00EF4CFC" w:rsidRPr="00EF4CFC" w:rsidRDefault="00EF4CFC" w:rsidP="00EF4CFC">
      <w:pPr>
        <w:pStyle w:val="NormalWeb"/>
        <w:shd w:val="clear" w:color="auto" w:fill="FFFFFF"/>
        <w:spacing w:before="300" w:beforeAutospacing="0" w:after="300" w:afterAutospacing="0"/>
        <w:rPr>
          <w:rFonts w:asciiTheme="minorHAnsi" w:hAnsiTheme="minorHAnsi" w:cstheme="minorHAnsi"/>
          <w:color w:val="0B0C0C"/>
        </w:rPr>
      </w:pPr>
      <w:r w:rsidRPr="00EF4CFC">
        <w:rPr>
          <w:rFonts w:asciiTheme="minorHAnsi" w:hAnsiTheme="minorHAnsi" w:cstheme="minorHAnsi"/>
          <w:color w:val="0B0C0C"/>
        </w:rPr>
        <w:t>Alternatively, you can report a suspected side effect to the Yellow Card scheme by calling 0800 731 6789 for free, Monday to Friday between 9am and 5pm.</w:t>
      </w:r>
    </w:p>
    <w:p w14:paraId="1F35BE42" w14:textId="142F2EAB" w:rsidR="00A65AA3" w:rsidRPr="00EF4CFC" w:rsidRDefault="00EF4CFC" w:rsidP="00EF4CFC">
      <w:pPr>
        <w:pStyle w:val="NormalWeb"/>
        <w:shd w:val="clear" w:color="auto" w:fill="FFFFFF"/>
        <w:spacing w:before="300" w:beforeAutospacing="0" w:after="300" w:afterAutospacing="0"/>
        <w:rPr>
          <w:rFonts w:asciiTheme="minorHAnsi" w:hAnsiTheme="minorHAnsi" w:cstheme="minorHAnsi"/>
        </w:rPr>
      </w:pPr>
      <w:r w:rsidRPr="00EF4CFC">
        <w:rPr>
          <w:rFonts w:asciiTheme="minorHAnsi" w:hAnsiTheme="minorHAnsi" w:cstheme="minorHAnsi"/>
          <w:color w:val="0B0C0C"/>
        </w:rPr>
        <w:t>When reporting please provide as much information as possible, including information about medical history, any concomitant medication, timing onset, treatment dates, and product brand name.</w:t>
      </w:r>
    </w:p>
    <w:p w14:paraId="3F6003DA" w14:textId="77777777" w:rsidR="00A65AA3" w:rsidRPr="00AE38CD" w:rsidRDefault="00A65AA3" w:rsidP="00474B66">
      <w:pPr>
        <w:rPr>
          <w:rFonts w:cstheme="minorHAnsi"/>
          <w:sz w:val="24"/>
          <w:szCs w:val="24"/>
          <w:lang w:val="en"/>
        </w:rPr>
      </w:pPr>
    </w:p>
    <w:sectPr w:rsidR="00A65AA3" w:rsidRPr="00AE38CD">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63CB" w14:textId="77777777" w:rsidR="00C51ABA" w:rsidRDefault="00C51ABA" w:rsidP="00474B66">
      <w:pPr>
        <w:spacing w:after="0" w:line="240" w:lineRule="auto"/>
      </w:pPr>
      <w:r>
        <w:separator/>
      </w:r>
    </w:p>
  </w:endnote>
  <w:endnote w:type="continuationSeparator" w:id="0">
    <w:p w14:paraId="01D04CEF" w14:textId="77777777" w:rsidR="00C51ABA" w:rsidRDefault="00C51ABA" w:rsidP="0047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2E13" w14:textId="77777777" w:rsidR="00C51ABA" w:rsidRDefault="00C51ABA" w:rsidP="00474B66">
      <w:pPr>
        <w:spacing w:after="0" w:line="240" w:lineRule="auto"/>
      </w:pPr>
      <w:r>
        <w:separator/>
      </w:r>
    </w:p>
  </w:footnote>
  <w:footnote w:type="continuationSeparator" w:id="0">
    <w:p w14:paraId="1327DDC4" w14:textId="77777777" w:rsidR="00C51ABA" w:rsidRDefault="00C51ABA" w:rsidP="00474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ayout w:type="fixed"/>
      <w:tblLook w:val="01E0" w:firstRow="1" w:lastRow="1" w:firstColumn="1" w:lastColumn="1" w:noHBand="0" w:noVBand="0"/>
    </w:tblPr>
    <w:tblGrid>
      <w:gridCol w:w="6577"/>
      <w:gridCol w:w="3061"/>
    </w:tblGrid>
    <w:tr w:rsidR="002247CA" w:rsidRPr="005D192E" w14:paraId="5F786442" w14:textId="77777777" w:rsidTr="00EF4CFC">
      <w:trPr>
        <w:trHeight w:hRule="exact" w:val="709"/>
      </w:trPr>
      <w:tc>
        <w:tcPr>
          <w:tcW w:w="3412" w:type="pct"/>
          <w:shd w:val="clear" w:color="auto" w:fill="auto"/>
        </w:tcPr>
        <w:p w14:paraId="28DC394A" w14:textId="77777777" w:rsidR="002247CA" w:rsidRPr="005D192E" w:rsidRDefault="002247CA" w:rsidP="002247CA">
          <w:pPr>
            <w:tabs>
              <w:tab w:val="right" w:pos="8280"/>
              <w:tab w:val="right" w:pos="9638"/>
            </w:tabs>
            <w:spacing w:before="40"/>
            <w:rPr>
              <w:rFonts w:ascii="Arial Black" w:hAnsi="Arial Black"/>
              <w:sz w:val="20"/>
            </w:rPr>
          </w:pPr>
          <w:r w:rsidRPr="005D192E">
            <w:rPr>
              <w:rFonts w:ascii="Arial Black" w:hAnsi="Arial Black"/>
              <w:sz w:val="20"/>
            </w:rPr>
            <w:t>CONFIDENTIAL</w:t>
          </w:r>
        </w:p>
        <w:p w14:paraId="238E93D1" w14:textId="77777777" w:rsidR="002247CA" w:rsidRPr="005D192E" w:rsidRDefault="002247CA" w:rsidP="002247CA">
          <w:pPr>
            <w:tabs>
              <w:tab w:val="right" w:pos="8280"/>
              <w:tab w:val="right" w:pos="9638"/>
            </w:tabs>
            <w:spacing w:before="40"/>
            <w:rPr>
              <w:rFonts w:ascii="Arial Black" w:hAnsi="Arial Black"/>
              <w:sz w:val="20"/>
            </w:rPr>
          </w:pPr>
        </w:p>
      </w:tc>
      <w:tc>
        <w:tcPr>
          <w:tcW w:w="1588" w:type="pct"/>
          <w:shd w:val="clear" w:color="auto" w:fill="auto"/>
        </w:tcPr>
        <w:p w14:paraId="2FC97ACA" w14:textId="77777777" w:rsidR="002247CA" w:rsidRPr="005D192E" w:rsidRDefault="002247CA" w:rsidP="002247CA">
          <w:pPr>
            <w:tabs>
              <w:tab w:val="left" w:pos="1890"/>
              <w:tab w:val="right" w:pos="2599"/>
              <w:tab w:val="center" w:pos="4819"/>
              <w:tab w:val="right" w:pos="9638"/>
            </w:tabs>
            <w:spacing w:before="80"/>
            <w:ind w:left="113"/>
            <w:jc w:val="right"/>
            <w:rPr>
              <w:sz w:val="20"/>
            </w:rPr>
          </w:pPr>
          <w:r w:rsidRPr="005D192E">
            <w:rPr>
              <w:noProof/>
              <w:sz w:val="20"/>
              <w:lang w:val="da-DK" w:eastAsia="da-DK"/>
            </w:rPr>
            <w:drawing>
              <wp:inline distT="0" distB="0" distL="0" distR="0" wp14:anchorId="28AB1FC1" wp14:editId="47EDF88B">
                <wp:extent cx="1234440" cy="335280"/>
                <wp:effectExtent l="0" t="0" r="3810" b="7620"/>
                <wp:docPr id="2" name="Picture 2" descr="Description: 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ai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35280"/>
                        </a:xfrm>
                        <a:prstGeom prst="rect">
                          <a:avLst/>
                        </a:prstGeom>
                        <a:noFill/>
                        <a:ln>
                          <a:noFill/>
                        </a:ln>
                      </pic:spPr>
                    </pic:pic>
                  </a:graphicData>
                </a:graphic>
              </wp:inline>
            </w:drawing>
          </w:r>
        </w:p>
      </w:tc>
    </w:tr>
  </w:tbl>
  <w:p w14:paraId="1755CA5D" w14:textId="6BA60869" w:rsidR="00474B66" w:rsidRDefault="00474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F556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1B8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5C60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114A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6E1D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5F12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8F42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7D50F6"/>
    <w:multiLevelType w:val="multilevel"/>
    <w:tmpl w:val="69A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135A62"/>
    <w:multiLevelType w:val="multilevel"/>
    <w:tmpl w:val="76D2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56084B"/>
    <w:multiLevelType w:val="hybridMultilevel"/>
    <w:tmpl w:val="A7BA3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4610250">
    <w:abstractNumId w:val="3"/>
  </w:num>
  <w:num w:numId="2" w16cid:durableId="1960254798">
    <w:abstractNumId w:val="0"/>
  </w:num>
  <w:num w:numId="3" w16cid:durableId="1675641824">
    <w:abstractNumId w:val="6"/>
  </w:num>
  <w:num w:numId="4" w16cid:durableId="753402568">
    <w:abstractNumId w:val="4"/>
  </w:num>
  <w:num w:numId="5" w16cid:durableId="1782262101">
    <w:abstractNumId w:val="1"/>
  </w:num>
  <w:num w:numId="6" w16cid:durableId="880871462">
    <w:abstractNumId w:val="5"/>
  </w:num>
  <w:num w:numId="7" w16cid:durableId="1396465894">
    <w:abstractNumId w:val="2"/>
  </w:num>
  <w:num w:numId="8" w16cid:durableId="1194923853">
    <w:abstractNumId w:val="7"/>
  </w:num>
  <w:num w:numId="9" w16cid:durableId="419910477">
    <w:abstractNumId w:val="8"/>
  </w:num>
  <w:num w:numId="10" w16cid:durableId="2078162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66"/>
    <w:rsid w:val="000175B7"/>
    <w:rsid w:val="000A69DB"/>
    <w:rsid w:val="000D6065"/>
    <w:rsid w:val="00100052"/>
    <w:rsid w:val="002247CA"/>
    <w:rsid w:val="00235E59"/>
    <w:rsid w:val="0025300F"/>
    <w:rsid w:val="00283A8E"/>
    <w:rsid w:val="0044397E"/>
    <w:rsid w:val="00474B66"/>
    <w:rsid w:val="0049014B"/>
    <w:rsid w:val="006C0966"/>
    <w:rsid w:val="006C7E4D"/>
    <w:rsid w:val="006D7F94"/>
    <w:rsid w:val="00737F63"/>
    <w:rsid w:val="00740A21"/>
    <w:rsid w:val="007E6A08"/>
    <w:rsid w:val="008C6AE4"/>
    <w:rsid w:val="008F489C"/>
    <w:rsid w:val="009C473F"/>
    <w:rsid w:val="00A27D2F"/>
    <w:rsid w:val="00A65AA3"/>
    <w:rsid w:val="00AE38CD"/>
    <w:rsid w:val="00C51ABA"/>
    <w:rsid w:val="00CE092A"/>
    <w:rsid w:val="00DA0C5A"/>
    <w:rsid w:val="00DD235A"/>
    <w:rsid w:val="00E007EC"/>
    <w:rsid w:val="00EF4CFC"/>
    <w:rsid w:val="00FD16AA"/>
    <w:rsid w:val="00FE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D2221"/>
  <w15:chartTrackingRefBased/>
  <w15:docId w15:val="{3DEE20AE-562C-43BD-ADB8-F68FD46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4B6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74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B66"/>
  </w:style>
  <w:style w:type="paragraph" w:styleId="Footer">
    <w:name w:val="footer"/>
    <w:basedOn w:val="Normal"/>
    <w:link w:val="FooterChar"/>
    <w:uiPriority w:val="99"/>
    <w:unhideWhenUsed/>
    <w:rsid w:val="00474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B66"/>
  </w:style>
  <w:style w:type="paragraph" w:styleId="BodyText">
    <w:name w:val="Body Text"/>
    <w:basedOn w:val="Normal"/>
    <w:link w:val="BodyTextChar"/>
    <w:uiPriority w:val="1"/>
    <w:qFormat/>
    <w:rsid w:val="00474B66"/>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474B66"/>
    <w:rPr>
      <w:rFonts w:ascii="Arial" w:eastAsia="Arial" w:hAnsi="Arial" w:cs="Arial"/>
      <w:sz w:val="20"/>
      <w:szCs w:val="20"/>
      <w:lang w:val="en-US"/>
    </w:rPr>
  </w:style>
  <w:style w:type="character" w:styleId="Hyperlink">
    <w:name w:val="Hyperlink"/>
    <w:basedOn w:val="DefaultParagraphFont"/>
    <w:uiPriority w:val="99"/>
    <w:unhideWhenUsed/>
    <w:rsid w:val="00474B66"/>
    <w:rPr>
      <w:color w:val="0563C1" w:themeColor="hyperlink"/>
      <w:u w:val="single"/>
    </w:rPr>
  </w:style>
  <w:style w:type="character" w:styleId="UnresolvedMention">
    <w:name w:val="Unresolved Mention"/>
    <w:basedOn w:val="DefaultParagraphFont"/>
    <w:uiPriority w:val="99"/>
    <w:semiHidden/>
    <w:unhideWhenUsed/>
    <w:rsid w:val="00474B66"/>
    <w:rPr>
      <w:color w:val="605E5C"/>
      <w:shd w:val="clear" w:color="auto" w:fill="E1DFDD"/>
    </w:rPr>
  </w:style>
  <w:style w:type="paragraph" w:styleId="Revision">
    <w:name w:val="Revision"/>
    <w:hidden/>
    <w:uiPriority w:val="99"/>
    <w:semiHidden/>
    <w:rsid w:val="00283A8E"/>
    <w:pPr>
      <w:spacing w:after="0" w:line="240" w:lineRule="auto"/>
    </w:pPr>
  </w:style>
  <w:style w:type="paragraph" w:styleId="NormalWeb">
    <w:name w:val="Normal (Web)"/>
    <w:basedOn w:val="Normal"/>
    <w:uiPriority w:val="99"/>
    <w:unhideWhenUsed/>
    <w:rsid w:val="00EF4C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4CFC"/>
    <w:pPr>
      <w:ind w:left="720"/>
      <w:contextualSpacing/>
    </w:pPr>
  </w:style>
  <w:style w:type="character" w:styleId="FollowedHyperlink">
    <w:name w:val="FollowedHyperlink"/>
    <w:basedOn w:val="DefaultParagraphFont"/>
    <w:uiPriority w:val="99"/>
    <w:semiHidden/>
    <w:unhideWhenUsed/>
    <w:rsid w:val="00EF4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llowcard.mhra.gov.uk/" TargetMode="External"/><Relationship Id="rId3" Type="http://schemas.openxmlformats.org/officeDocument/2006/relationships/settings" Target="settings.xml"/><Relationship Id="rId7" Type="http://schemas.openxmlformats.org/officeDocument/2006/relationships/hyperlink" Target="http://www.jex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896</Words>
  <Characters>5112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Quine (EQUUK)</dc:creator>
  <cp:keywords/>
  <dc:description/>
  <cp:lastModifiedBy>Louise Colonnese</cp:lastModifiedBy>
  <cp:revision>2</cp:revision>
  <dcterms:created xsi:type="dcterms:W3CDTF">2023-11-22T16:37:00Z</dcterms:created>
  <dcterms:modified xsi:type="dcterms:W3CDTF">2023-11-22T16:37:00Z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31fc26-8783-4c6f-a0ef-add6102a54c3_Enabled">
    <vt:lpwstr>true</vt:lpwstr>
  </property>
  <property fmtid="{D5CDD505-2E9C-101B-9397-08002B2CF9AE}" pid="3" name="MSIP_Label_0e31fc26-8783-4c6f-a0ef-add6102a54c3_SetDate">
    <vt:lpwstr>2023-11-21T15:06:47Z</vt:lpwstr>
  </property>
  <property fmtid="{D5CDD505-2E9C-101B-9397-08002B2CF9AE}" pid="4" name="MSIP_Label_0e31fc26-8783-4c6f-a0ef-add6102a54c3_Method">
    <vt:lpwstr>Privileged</vt:lpwstr>
  </property>
  <property fmtid="{D5CDD505-2E9C-101B-9397-08002B2CF9AE}" pid="5" name="MSIP_Label_0e31fc26-8783-4c6f-a0ef-add6102a54c3_Name">
    <vt:lpwstr>External</vt:lpwstr>
  </property>
  <property fmtid="{D5CDD505-2E9C-101B-9397-08002B2CF9AE}" pid="6" name="MSIP_Label_0e31fc26-8783-4c6f-a0ef-add6102a54c3_SiteId">
    <vt:lpwstr>980d278b-2e6d-4d59-b2e2-f1a1383bbf20</vt:lpwstr>
  </property>
  <property fmtid="{D5CDD505-2E9C-101B-9397-08002B2CF9AE}" pid="7" name="MSIP_Label_0e31fc26-8783-4c6f-a0ef-add6102a54c3_ActionId">
    <vt:lpwstr>64aba82c-86c6-4f49-aa18-f30cc5060ade</vt:lpwstr>
  </property>
  <property fmtid="{D5CDD505-2E9C-101B-9397-08002B2CF9AE}" pid="8" name="MSIP_Label_0e31fc26-8783-4c6f-a0ef-add6102a54c3_ContentBits">
    <vt:lpwstr>0</vt:lpwstr>
  </property>
</Properties>
</file>